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a3"/>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top w:val="nil"/>
              <w:left w:val="nil"/>
              <w:bottom w:val="nil"/>
              <w:right w:val="nil"/>
            </w:tcBorders>
            <w:shd w:fill="auto" w:val="clear"/>
          </w:tcPr>
          <w:p>
            <w:pPr>
              <w:pStyle w:val="Normal"/>
              <w:widowControl w:val="false"/>
              <w:tabs>
                <w:tab w:val="clear" w:pos="708"/>
                <w:tab w:val="left" w:pos="3280" w:leader="none"/>
              </w:tabs>
              <w:spacing w:lineRule="atLeast" w:line="280" w:before="0" w:after="0"/>
              <w:jc w:val="both"/>
              <w:rPr>
                <w:sz w:val="24"/>
                <w:szCs w:val="24"/>
              </w:rPr>
            </w:pPr>
            <w:r>
              <w:rPr>
                <w:rFonts w:eastAsia="Times New Roman" w:ascii="Times New Roman" w:hAnsi="Times New Roman"/>
                <w:color w:val="000000"/>
                <w:sz w:val="24"/>
                <w:szCs w:val="24"/>
                <w:lang w:eastAsia="ru-RU"/>
              </w:rPr>
              <w:t>СОГЛАСОВАНО</w:t>
            </w:r>
          </w:p>
          <w:p>
            <w:pPr>
              <w:pStyle w:val="Normal"/>
              <w:widowControl w:val="false"/>
              <w:tabs>
                <w:tab w:val="clear" w:pos="708"/>
                <w:tab w:val="left" w:pos="3280" w:leader="none"/>
              </w:tabs>
              <w:spacing w:lineRule="atLeast" w:line="280" w:before="0" w:after="0"/>
              <w:jc w:val="both"/>
              <w:rPr>
                <w:sz w:val="24"/>
                <w:szCs w:val="24"/>
              </w:rPr>
            </w:pPr>
            <w:r>
              <w:rPr>
                <w:rFonts w:eastAsia="Times New Roman" w:ascii="Times New Roman" w:hAnsi="Times New Roman"/>
                <w:color w:val="000000"/>
                <w:sz w:val="24"/>
                <w:szCs w:val="24"/>
                <w:lang w:eastAsia="ru-RU"/>
              </w:rPr>
              <w:t>с профсоюзным комитетом</w:t>
            </w:r>
          </w:p>
          <w:p>
            <w:pPr>
              <w:pStyle w:val="Normal"/>
              <w:widowControl w:val="false"/>
              <w:tabs>
                <w:tab w:val="clear" w:pos="708"/>
                <w:tab w:val="left" w:pos="3280" w:leader="none"/>
              </w:tabs>
              <w:spacing w:lineRule="atLeast" w:line="280" w:before="0" w:after="0"/>
              <w:jc w:val="both"/>
              <w:rPr>
                <w:sz w:val="24"/>
                <w:szCs w:val="24"/>
              </w:rPr>
            </w:pPr>
            <w:r>
              <w:rPr>
                <w:rFonts w:eastAsia="Times New Roman" w:ascii="Times New Roman" w:hAnsi="Times New Roman"/>
                <w:color w:val="000000"/>
                <w:sz w:val="24"/>
                <w:szCs w:val="24"/>
                <w:lang w:eastAsia="ru-RU"/>
              </w:rPr>
              <w:t>МАДОУ Центр развития ребенка –</w:t>
            </w:r>
          </w:p>
          <w:p>
            <w:pPr>
              <w:pStyle w:val="Normal"/>
              <w:widowControl w:val="false"/>
              <w:tabs>
                <w:tab w:val="clear" w:pos="708"/>
                <w:tab w:val="left" w:pos="3280" w:leader="none"/>
              </w:tabs>
              <w:spacing w:lineRule="atLeast" w:line="280" w:before="0" w:after="0"/>
              <w:jc w:val="both"/>
              <w:rPr>
                <w:sz w:val="24"/>
                <w:szCs w:val="24"/>
              </w:rPr>
            </w:pPr>
            <w:bookmarkStart w:id="0" w:name="_GoBack111"/>
            <w:bookmarkEnd w:id="0"/>
            <w:r>
              <w:rPr>
                <w:rFonts w:eastAsia="Times New Roman" w:ascii="Times New Roman" w:hAnsi="Times New Roman"/>
                <w:color w:val="000000"/>
                <w:sz w:val="24"/>
                <w:szCs w:val="24"/>
                <w:lang w:eastAsia="ru-RU"/>
              </w:rPr>
              <w:t>детский сад №10 «Ляйсан» г.Дюртюли</w:t>
            </w:r>
          </w:p>
          <w:p>
            <w:pPr>
              <w:pStyle w:val="Normal"/>
              <w:widowControl w:val="false"/>
              <w:tabs>
                <w:tab w:val="clear" w:pos="708"/>
                <w:tab w:val="left" w:pos="3280" w:leader="none"/>
              </w:tabs>
              <w:spacing w:lineRule="atLeast" w:line="280" w:before="0" w:after="0"/>
              <w:jc w:val="both"/>
              <w:rPr>
                <w:sz w:val="24"/>
                <w:szCs w:val="24"/>
              </w:rPr>
            </w:pPr>
            <w:r>
              <w:rPr>
                <w:rFonts w:eastAsia="Times New Roman" w:ascii="Times New Roman" w:hAnsi="Times New Roman"/>
                <w:color w:val="000000"/>
                <w:sz w:val="24"/>
                <w:szCs w:val="24"/>
                <w:lang w:eastAsia="ru-RU"/>
              </w:rPr>
              <w:t xml:space="preserve">протокол № </w:t>
            </w:r>
            <w:r>
              <w:rPr>
                <w:rFonts w:eastAsia="Times New Roman" w:ascii="Times New Roman" w:hAnsi="Times New Roman"/>
                <w:color w:val="000000"/>
                <w:sz w:val="24"/>
                <w:szCs w:val="24"/>
                <w:lang w:eastAsia="ru-RU"/>
              </w:rPr>
              <w:t>2 от 24.02.2022</w:t>
            </w:r>
          </w:p>
        </w:tc>
        <w:tc>
          <w:tcPr>
            <w:tcW w:w="4785" w:type="dxa"/>
            <w:tcBorders>
              <w:top w:val="nil"/>
              <w:left w:val="nil"/>
              <w:bottom w:val="nil"/>
              <w:right w:val="nil"/>
            </w:tcBorders>
            <w:shd w:fill="auto" w:val="clear"/>
          </w:tcPr>
          <w:p>
            <w:pPr>
              <w:pStyle w:val="Normal"/>
              <w:spacing w:lineRule="auto" w:line="240" w:before="0" w:after="0"/>
              <w:rPr>
                <w:sz w:val="24"/>
                <w:szCs w:val="24"/>
              </w:rPr>
            </w:pPr>
            <w:r>
              <w:rPr>
                <w:rFonts w:eastAsia="Times New Roman" w:ascii="Times New Roman" w:hAnsi="Times New Roman"/>
                <w:sz w:val="24"/>
                <w:szCs w:val="24"/>
                <w:lang w:eastAsia="ru-RU"/>
              </w:rPr>
              <w:t>УТВЕРЖДЕНО</w:t>
            </w:r>
          </w:p>
          <w:p>
            <w:pPr>
              <w:pStyle w:val="Normal"/>
              <w:spacing w:lineRule="auto" w:line="240" w:before="0" w:after="0"/>
              <w:rPr>
                <w:sz w:val="24"/>
                <w:szCs w:val="24"/>
              </w:rPr>
            </w:pPr>
            <w:r>
              <w:rPr>
                <w:rFonts w:eastAsia="Times New Roman" w:ascii="Times New Roman" w:hAnsi="Times New Roman"/>
                <w:sz w:val="24"/>
                <w:szCs w:val="24"/>
                <w:lang w:eastAsia="ru-RU"/>
              </w:rPr>
              <w:t>Приказом  заведующего</w:t>
            </w:r>
          </w:p>
          <w:p>
            <w:pPr>
              <w:pStyle w:val="Normal"/>
              <w:spacing w:lineRule="auto" w:line="240" w:before="0" w:after="0"/>
              <w:rPr>
                <w:sz w:val="24"/>
                <w:szCs w:val="24"/>
              </w:rPr>
            </w:pPr>
            <w:r>
              <w:rPr>
                <w:rFonts w:eastAsia="Times New Roman" w:ascii="Times New Roman" w:hAnsi="Times New Roman"/>
                <w:spacing w:val="-4"/>
                <w:sz w:val="24"/>
                <w:szCs w:val="24"/>
                <w:lang w:eastAsia="ru-RU"/>
              </w:rPr>
              <w:t>МАДОУ Центр развития ребенка -</w:t>
            </w:r>
            <w:r>
              <w:rPr>
                <w:rFonts w:eastAsia="Times New Roman" w:ascii="Times New Roman" w:hAnsi="Times New Roman"/>
                <w:sz w:val="24"/>
                <w:szCs w:val="24"/>
                <w:lang w:eastAsia="ru-RU"/>
              </w:rPr>
              <w:t xml:space="preserve">  детский сад № 10«Ляйсан» г.Дюртюли</w:t>
            </w:r>
          </w:p>
          <w:p>
            <w:pPr>
              <w:pStyle w:val="Normal"/>
              <w:spacing w:lineRule="auto" w:line="240" w:before="0" w:after="0"/>
              <w:rPr>
                <w:sz w:val="24"/>
                <w:szCs w:val="24"/>
              </w:rPr>
            </w:pPr>
            <w:r>
              <w:rPr>
                <w:rFonts w:eastAsia="Times New Roman" w:ascii="Times New Roman" w:hAnsi="Times New Roman"/>
                <w:sz w:val="24"/>
                <w:szCs w:val="24"/>
                <w:lang w:eastAsia="ru-RU"/>
              </w:rPr>
              <w:t xml:space="preserve">от </w:t>
            </w:r>
            <w:r>
              <w:rPr>
                <w:rFonts w:eastAsia="Times New Roman" w:ascii="Times New Roman" w:hAnsi="Times New Roman"/>
                <w:sz w:val="24"/>
                <w:szCs w:val="24"/>
                <w:lang w:eastAsia="ru-RU"/>
              </w:rPr>
              <w:t xml:space="preserve">24.02.2022   </w:t>
            </w:r>
            <w:r>
              <w:rPr>
                <w:rFonts w:eastAsia="Times New Roman" w:ascii="Times New Roman" w:hAnsi="Times New Roman"/>
                <w:sz w:val="24"/>
                <w:szCs w:val="24"/>
                <w:lang w:eastAsia="ru-RU"/>
              </w:rPr>
              <w:t>№</w:t>
            </w:r>
            <w:r>
              <w:rPr>
                <w:rFonts w:eastAsia="Times New Roman" w:ascii="Times New Roman" w:hAnsi="Times New Roman"/>
                <w:sz w:val="24"/>
                <w:szCs w:val="24"/>
                <w:lang w:eastAsia="ru-RU"/>
              </w:rPr>
              <w:t>50</w:t>
            </w:r>
          </w:p>
        </w:tc>
      </w:tr>
    </w:tbl>
    <w:p>
      <w:pPr>
        <w:pStyle w:val="Normal"/>
        <w:numPr>
          <w:ilvl w:val="0"/>
          <w:numId w:val="0"/>
        </w:numPr>
        <w:spacing w:lineRule="auto" w:line="240" w:before="0" w:after="0"/>
        <w:ind w:firstLine="851" w:left="0"/>
        <w:jc w:val="center"/>
        <w:outlineLvl w:val="0"/>
        <w:rPr>
          <w:rFonts w:ascii="Times New Roman" w:hAnsi="Times New Roman" w:eastAsia="Times New Roman" w:cs="Times New Roman"/>
          <w:b/>
          <w:color w:val="2E2E2E"/>
          <w:kern w:val="2"/>
          <w:sz w:val="24"/>
          <w:szCs w:val="24"/>
          <w:lang w:eastAsia="ru-RU"/>
        </w:rPr>
      </w:pPr>
      <w:r>
        <w:rPr>
          <w:rFonts w:eastAsia="Times New Roman" w:cs="Times New Roman" w:ascii="Times New Roman" w:hAnsi="Times New Roman"/>
          <w:b/>
          <w:color w:val="2E2E2E"/>
          <w:kern w:val="2"/>
          <w:sz w:val="24"/>
          <w:szCs w:val="24"/>
          <w:lang w:eastAsia="ru-RU"/>
        </w:rPr>
      </w:r>
    </w:p>
    <w:p>
      <w:pPr>
        <w:pStyle w:val="Normal"/>
        <w:numPr>
          <w:ilvl w:val="0"/>
          <w:numId w:val="0"/>
        </w:numPr>
        <w:spacing w:lineRule="auto" w:line="240" w:before="0" w:after="0"/>
        <w:ind w:firstLine="851" w:left="0"/>
        <w:jc w:val="center"/>
        <w:outlineLvl w:val="0"/>
        <w:rPr>
          <w:rFonts w:ascii="Times New Roman" w:hAnsi="Times New Roman" w:eastAsia="Times New Roman" w:cs="Times New Roman"/>
          <w:b/>
          <w:color w:val="2E2E2E"/>
          <w:kern w:val="2"/>
          <w:sz w:val="28"/>
          <w:szCs w:val="28"/>
          <w:lang w:eastAsia="ru-RU"/>
        </w:rPr>
      </w:pPr>
      <w:r>
        <w:rPr>
          <w:rFonts w:eastAsia="Times New Roman" w:cs="Times New Roman" w:ascii="Times New Roman" w:hAnsi="Times New Roman"/>
          <w:b/>
          <w:color w:val="2E2E2E"/>
          <w:kern w:val="2"/>
          <w:sz w:val="24"/>
          <w:szCs w:val="24"/>
          <w:lang w:eastAsia="ru-RU"/>
        </w:rPr>
        <w:t>Положение</w:t>
      </w:r>
    </w:p>
    <w:p>
      <w:pPr>
        <w:pStyle w:val="Normal"/>
        <w:numPr>
          <w:ilvl w:val="0"/>
          <w:numId w:val="0"/>
        </w:numPr>
        <w:spacing w:lineRule="auto" w:line="240" w:before="0" w:after="0"/>
        <w:ind w:firstLine="851" w:left="0"/>
        <w:jc w:val="center"/>
        <w:outlineLvl w:val="0"/>
        <w:rPr>
          <w:rFonts w:ascii="Times New Roman" w:hAnsi="Times New Roman" w:eastAsia="Times New Roman" w:cs="Times New Roman"/>
          <w:b/>
          <w:color w:val="2E2E2E"/>
          <w:kern w:val="2"/>
          <w:sz w:val="28"/>
          <w:szCs w:val="28"/>
          <w:lang w:eastAsia="ru-RU"/>
        </w:rPr>
      </w:pPr>
      <w:r>
        <w:rPr>
          <w:rFonts w:eastAsia="Times New Roman" w:cs="Times New Roman" w:ascii="Times New Roman" w:hAnsi="Times New Roman"/>
          <w:b/>
          <w:color w:val="2E2E2E"/>
          <w:kern w:val="2"/>
          <w:sz w:val="24"/>
          <w:szCs w:val="24"/>
          <w:lang w:eastAsia="ru-RU"/>
        </w:rPr>
        <w:t xml:space="preserve"> </w:t>
      </w:r>
      <w:r>
        <w:rPr>
          <w:rFonts w:eastAsia="Times New Roman" w:cs="Times New Roman" w:ascii="Times New Roman" w:hAnsi="Times New Roman"/>
          <w:b/>
          <w:color w:val="2E2E2E"/>
          <w:kern w:val="2"/>
          <w:sz w:val="24"/>
          <w:szCs w:val="24"/>
          <w:lang w:eastAsia="ru-RU"/>
        </w:rPr>
        <w:t>о системе управления охраной труда (СУОТ) в муниципальном автономном дошкольном образовательном учреждении Центр развития ребенка – детский сад №10 «Ляйсан» города Дюртюли муниципального района Дюртюлинский район Республики Башкортостан</w:t>
      </w:r>
    </w:p>
    <w:p>
      <w:pPr>
        <w:pStyle w:val="Normal"/>
        <w:numPr>
          <w:ilvl w:val="0"/>
          <w:numId w:val="0"/>
        </w:numPr>
        <w:spacing w:lineRule="auto" w:line="240" w:before="0" w:after="0"/>
        <w:ind w:firstLine="851" w:left="0"/>
        <w:jc w:val="center"/>
        <w:outlineLvl w:val="0"/>
        <w:rPr>
          <w:rFonts w:ascii="Times New Roman" w:hAnsi="Times New Roman" w:eastAsia="Times New Roman" w:cs="Times New Roman"/>
          <w:b/>
          <w:color w:val="2E2E2E"/>
          <w:kern w:val="2"/>
          <w:sz w:val="24"/>
          <w:szCs w:val="24"/>
          <w:lang w:eastAsia="ru-RU"/>
        </w:rPr>
      </w:pPr>
      <w:r>
        <w:rPr>
          <w:rFonts w:eastAsia="Times New Roman" w:cs="Times New Roman" w:ascii="Times New Roman" w:hAnsi="Times New Roman"/>
          <w:b/>
          <w:color w:val="2E2E2E"/>
          <w:kern w:val="2"/>
          <w:sz w:val="24"/>
          <w:szCs w:val="24"/>
          <w:lang w:eastAsia="ru-RU"/>
        </w:rPr>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b/>
          <w:bCs/>
          <w:color w:val="2E2E2E"/>
          <w:sz w:val="24"/>
          <w:szCs w:val="24"/>
          <w:lang w:eastAsia="ru-RU"/>
        </w:rPr>
        <w:t>1. Общие положения</w:t>
      </w:r>
    </w:p>
    <w:p>
      <w:pPr>
        <w:pStyle w:val="Normal"/>
        <w:spacing w:lineRule="auto" w:line="240" w:before="0" w:after="0"/>
        <w:ind w:firstLine="851"/>
        <w:jc w:val="both"/>
        <w:rPr>
          <w:sz w:val="24"/>
          <w:szCs w:val="24"/>
        </w:rPr>
      </w:pPr>
      <w:r>
        <w:rPr>
          <w:rFonts w:eastAsia="Times New Roman" w:cs="Times New Roman" w:ascii="Times New Roman" w:hAnsi="Times New Roman"/>
          <w:color w:val="2E2E2E"/>
          <w:sz w:val="24"/>
          <w:szCs w:val="24"/>
          <w:lang w:eastAsia="ru-RU"/>
        </w:rPr>
        <w:t>1.1. Настоящее Положение о системе управления охраной труда в муниципальном автономном дошкольном образовательном учреждении Центр развития ребенка – детский сад №10 «Ляйсан» города Дюртюли муниципального района Дюртюлинский район Республики Башкортостан (далее – ДОУ, Положение)  разработано в соответствии со следующими нормативными документами:</w:t>
      </w:r>
    </w:p>
    <w:p>
      <w:pPr>
        <w:pStyle w:val="Normal"/>
        <w:numPr>
          <w:ilvl w:val="0"/>
          <w:numId w:val="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Трудовой кодекс Российской Федерации;</w:t>
      </w:r>
    </w:p>
    <w:p>
      <w:pPr>
        <w:pStyle w:val="Normal"/>
        <w:numPr>
          <w:ilvl w:val="0"/>
          <w:numId w:val="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w:t>
      </w:r>
      <w:r>
        <w:rPr>
          <w:rFonts w:eastAsia="Times New Roman" w:cs="Times New Roman" w:ascii="Times New Roman" w:hAnsi="Times New Roman"/>
          <w:i/>
          <w:iCs/>
          <w:color w:val="2E2E2E"/>
          <w:sz w:val="24"/>
          <w:szCs w:val="24"/>
          <w:lang w:eastAsia="ru-RU"/>
        </w:rPr>
        <w:t>Об утверждении Примерного положения о системе управления охраной труда</w:t>
      </w:r>
      <w:r>
        <w:rPr>
          <w:rFonts w:eastAsia="Times New Roman" w:cs="Times New Roman" w:ascii="Times New Roman" w:hAnsi="Times New Roman"/>
          <w:color w:val="2E2E2E"/>
          <w:sz w:val="24"/>
          <w:szCs w:val="24"/>
          <w:lang w:eastAsia="ru-RU"/>
        </w:rPr>
        <w:t>» (введено приказом Министерства труда и социальной защиты РФ от 29 октября 2021 г. N 776н);</w:t>
      </w:r>
    </w:p>
    <w:p>
      <w:pPr>
        <w:pStyle w:val="Normal"/>
        <w:numPr>
          <w:ilvl w:val="0"/>
          <w:numId w:val="1"/>
        </w:numPr>
        <w:tabs>
          <w:tab w:val="clear" w:pos="708"/>
          <w:tab w:val="left" w:pos="993" w:leader="none"/>
        </w:tabs>
        <w:spacing w:lineRule="auto" w:line="240" w:before="0" w:after="0"/>
        <w:ind w:firstLine="851" w:left="0"/>
        <w:jc w:val="both"/>
        <w:rPr/>
      </w:pPr>
      <w:r>
        <w:rPr>
          <w:rFonts w:eastAsia="Times New Roman" w:cs="Times New Roman" w:ascii="Times New Roman" w:hAnsi="Times New Roman"/>
          <w:color w:val="2E2E2E"/>
          <w:sz w:val="24"/>
          <w:szCs w:val="24"/>
          <w:lang w:eastAsia="ru-RU"/>
        </w:rPr>
        <w:t>«</w:t>
      </w:r>
      <w:hyperlink r:id="rId2" w:tgtFrame="Система управления охраной труда. Документы в ДОУ">
        <w:r>
          <w:rPr>
            <w:rStyle w:val="ListLabel262"/>
            <w:rFonts w:eastAsia="Times New Roman" w:cs="Times New Roman" w:ascii="Times New Roman" w:hAnsi="Times New Roman"/>
            <w:i/>
            <w:iCs/>
            <w:color w:val="0000FF"/>
            <w:sz w:val="24"/>
            <w:szCs w:val="24"/>
            <w:u w:val="single"/>
            <w:lang w:eastAsia="ru-RU"/>
          </w:rPr>
          <w:t>ГОСТ 12.0.230.1-2015</w:t>
        </w:r>
      </w:hyperlink>
      <w:r>
        <w:rPr>
          <w:rFonts w:eastAsia="Times New Roman" w:cs="Times New Roman" w:ascii="Times New Roman" w:hAnsi="Times New Roman"/>
          <w:i/>
          <w:iCs/>
          <w:color w:val="2E2E2E"/>
          <w:sz w:val="24"/>
          <w:szCs w:val="24"/>
          <w:lang w:eastAsia="ru-RU"/>
        </w:rPr>
        <w:t>. Межгосударственный стандарт. Система стандартов безопасности труда. Системы управления охраной труда. Руководство по применению ГОСТ 12.0.230-2007</w:t>
      </w:r>
      <w:r>
        <w:rPr>
          <w:rFonts w:eastAsia="Times New Roman" w:cs="Times New Roman" w:ascii="Times New Roman" w:hAnsi="Times New Roman"/>
          <w:color w:val="2E2E2E"/>
          <w:sz w:val="24"/>
          <w:szCs w:val="24"/>
          <w:lang w:eastAsia="ru-RU"/>
        </w:rPr>
        <w:t>» (введен в действие Приказом Росстандарта от 09.06.2016 N 601-ст);</w:t>
      </w:r>
    </w:p>
    <w:p>
      <w:pPr>
        <w:pStyle w:val="Normal"/>
        <w:numPr>
          <w:ilvl w:val="0"/>
          <w:numId w:val="1"/>
        </w:numPr>
        <w:tabs>
          <w:tab w:val="clear" w:pos="708"/>
          <w:tab w:val="left" w:pos="993" w:leader="none"/>
        </w:tabs>
        <w:spacing w:lineRule="auto" w:line="240" w:before="0" w:after="0"/>
        <w:ind w:firstLine="851" w:left="0"/>
        <w:jc w:val="both"/>
        <w:rPr/>
      </w:pPr>
      <w:r>
        <w:rPr>
          <w:rFonts w:eastAsia="Times New Roman" w:cs="Times New Roman" w:ascii="Times New Roman" w:hAnsi="Times New Roman"/>
          <w:color w:val="2E2E2E"/>
          <w:sz w:val="24"/>
          <w:szCs w:val="24"/>
          <w:lang w:eastAsia="ru-RU"/>
        </w:rPr>
        <w:t>«</w:t>
      </w:r>
      <w:hyperlink r:id="rId3" w:tgtFrame="Система стандартов безопасности труда. Документы в ДОУ">
        <w:r>
          <w:rPr>
            <w:rStyle w:val="ListLabel262"/>
            <w:rFonts w:eastAsia="Times New Roman" w:cs="Times New Roman" w:ascii="Times New Roman" w:hAnsi="Times New Roman"/>
            <w:i/>
            <w:iCs/>
            <w:color w:val="0000FF"/>
            <w:sz w:val="24"/>
            <w:szCs w:val="24"/>
            <w:u w:val="single"/>
            <w:lang w:eastAsia="ru-RU"/>
          </w:rPr>
          <w:t>ГОСТ 12.0.230.2-2015</w:t>
        </w:r>
      </w:hyperlink>
      <w:r>
        <w:rPr>
          <w:rFonts w:eastAsia="Times New Roman" w:cs="Times New Roman" w:ascii="Times New Roman" w:hAnsi="Times New Roman"/>
          <w:i/>
          <w:iCs/>
          <w:color w:val="2E2E2E"/>
          <w:sz w:val="24"/>
          <w:szCs w:val="24"/>
          <w:lang w:eastAsia="ru-RU"/>
        </w:rPr>
        <w:t>. Межгосударственный стандарт. Система стандартов безопасности труда. Системы управления охраной труда. Оценка соответствия. Требования</w:t>
      </w:r>
      <w:r>
        <w:rPr>
          <w:rFonts w:eastAsia="Times New Roman" w:cs="Times New Roman" w:ascii="Times New Roman" w:hAnsi="Times New Roman"/>
          <w:color w:val="2E2E2E"/>
          <w:sz w:val="24"/>
          <w:szCs w:val="24"/>
          <w:lang w:eastAsia="ru-RU"/>
        </w:rPr>
        <w:t>» (введен в действие Приказом Росстандарта от 09.06.2016 N 603-ст);</w:t>
      </w:r>
    </w:p>
    <w:p>
      <w:pPr>
        <w:pStyle w:val="Normal"/>
        <w:numPr>
          <w:ilvl w:val="0"/>
          <w:numId w:val="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иные нормативно-правовые акты об охране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 xml:space="preserve">1.2. Система управления охраной труда в ДОУ (далее – СУОТ) является составной частью системы управления его хозяйственной деятельностью, обеспечивающей управление профессиональными рисками, связанными с производственной деятельностью </w:t>
      </w:r>
      <w:r>
        <w:rPr>
          <w:rFonts w:eastAsia="Times New Roman" w:cs="Times New Roman" w:ascii="Times New Roman" w:hAnsi="Times New Roman"/>
          <w:sz w:val="24"/>
          <w:szCs w:val="24"/>
          <w:lang w:eastAsia="ru-RU"/>
        </w:rPr>
        <w:t>административно-педагогического и технического</w:t>
      </w:r>
      <w:r>
        <w:rPr>
          <w:rFonts w:eastAsia="Times New Roman" w:cs="Times New Roman" w:ascii="Times New Roman" w:hAnsi="Times New Roman"/>
          <w:color w:val="2E2E2E"/>
          <w:sz w:val="24"/>
          <w:szCs w:val="24"/>
          <w:lang w:eastAsia="ru-RU"/>
        </w:rPr>
        <w:t xml:space="preserve"> персонала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1.3. СУОТ представляет собой единство:</w:t>
      </w:r>
    </w:p>
    <w:p>
      <w:pPr>
        <w:pStyle w:val="Normal"/>
        <w:numPr>
          <w:ilvl w:val="0"/>
          <w:numId w:val="2"/>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организационной структуры управления ДОУ (согласно штатному расписанию), предусматривающей установление обязанностей и ответственности в области охраны труда;</w:t>
      </w:r>
    </w:p>
    <w:p>
      <w:pPr>
        <w:pStyle w:val="Normal"/>
        <w:numPr>
          <w:ilvl w:val="0"/>
          <w:numId w:val="2"/>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мероприятий, обеспечивающих функционирование СУОТ и контроль за эффективностью работы в области охраны труда;</w:t>
      </w:r>
    </w:p>
    <w:p>
      <w:pPr>
        <w:pStyle w:val="Normal"/>
        <w:numPr>
          <w:ilvl w:val="0"/>
          <w:numId w:val="2"/>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1.4. Разработка и внедрение СУОТ обеспечивают достижение согласно политике (стратегии) организации в области охраны труда ожидаемых результатов в области улучшения условий и охраны труда, которые включают в себя:</w:t>
      </w:r>
    </w:p>
    <w:p>
      <w:pPr>
        <w:pStyle w:val="Normal"/>
        <w:numPr>
          <w:ilvl w:val="0"/>
          <w:numId w:val="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постоянное улучшение показателей в области охраны труда;</w:t>
      </w:r>
    </w:p>
    <w:p>
      <w:pPr>
        <w:pStyle w:val="Normal"/>
        <w:numPr>
          <w:ilvl w:val="0"/>
          <w:numId w:val="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соблюдение законодательных и иных норм;</w:t>
      </w:r>
    </w:p>
    <w:p>
      <w:pPr>
        <w:pStyle w:val="Normal"/>
        <w:numPr>
          <w:ilvl w:val="0"/>
          <w:numId w:val="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достижение целей в области охраны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1.5. СУОТ разрабатывается в целях исключения и (или) минимизации профессиональных рисков в области охраны труда и управления указанными рисками (выявления опасностей, оценки уровней и снижения уровней профессиональных рисков) с учётом потребностей и ожиданий работников ДОУ, а также других заинтересованных сторон.</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1.6. Положения СУОТ распространяются на всех работников, работающих в ДОУ в соответствии с трудовым законодательством Российской Федерации. В рамках СУОТ учитывается деятельность на всех рабочих местах, во всех структурных подразделениях (территориях, зданиях, сооружениях и других объектах) ДОУ, находящихся в его ведении.</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1.7. Установленные СУОТ положения по безопасности, относящиеся к нахождению и перемещению по объектам ДОУ, распространяются на всех лиц, находящихся на территории, в зданиях и сооружениях ДОУ, в том числе для представителей органов надзора и контроля и работников подрядных организаций, допущенных к выполнению работ и осуществлению иной деятельности на территории и объектах ДОУ в соответствии с требованиями применяемых в ДОУ нормативных правовых актов.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w:t>
      </w:r>
    </w:p>
    <w:p>
      <w:pPr>
        <w:pStyle w:val="Normal"/>
        <w:spacing w:lineRule="auto" w:line="240" w:before="0" w:after="0"/>
        <w:ind w:firstLine="851"/>
        <w:jc w:val="both"/>
        <w:rPr>
          <w:rFonts w:ascii="Times New Roman" w:hAnsi="Times New Roman" w:eastAsia="Times New Roman" w:cs="Times New Roman"/>
          <w:color w:val="2E2E2E"/>
          <w:sz w:val="24"/>
          <w:szCs w:val="24"/>
          <w:lang w:eastAsia="ru-RU"/>
        </w:rPr>
      </w:pPr>
      <w:r>
        <w:rPr>
          <w:rFonts w:eastAsia="Times New Roman" w:cs="Times New Roman" w:ascii="Times New Roman" w:hAnsi="Times New Roman"/>
          <w:color w:val="2E2E2E"/>
          <w:sz w:val="24"/>
          <w:szCs w:val="24"/>
          <w:lang w:eastAsia="ru-RU"/>
        </w:rPr>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b/>
          <w:bCs/>
          <w:color w:val="2E2E2E"/>
          <w:sz w:val="24"/>
          <w:szCs w:val="24"/>
          <w:lang w:eastAsia="ru-RU"/>
        </w:rPr>
        <w:t>2. Разработка и внедрение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2.1. Политика (стратегия) в области охраны труда является:</w:t>
      </w:r>
    </w:p>
    <w:p>
      <w:pPr>
        <w:pStyle w:val="Normal"/>
        <w:numPr>
          <w:ilvl w:val="0"/>
          <w:numId w:val="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sz w:val="24"/>
          <w:szCs w:val="24"/>
          <w:lang w:eastAsia="ru-RU"/>
        </w:rPr>
        <w:t>локальным актом (разделом локального акта)</w:t>
      </w:r>
      <w:r>
        <w:rPr>
          <w:rFonts w:eastAsia="Times New Roman" w:cs="Times New Roman" w:ascii="Times New Roman" w:hAnsi="Times New Roman"/>
          <w:color w:val="2E2E2E"/>
          <w:sz w:val="24"/>
          <w:szCs w:val="24"/>
          <w:lang w:eastAsia="ru-RU"/>
        </w:rPr>
        <w:t>, в котором излагаются цели и мероприятия, направленные на сохранение жизни и здоровья работников;</w:t>
      </w:r>
    </w:p>
    <w:p>
      <w:pPr>
        <w:pStyle w:val="Normal"/>
        <w:numPr>
          <w:ilvl w:val="0"/>
          <w:numId w:val="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публичной декларацией заведующего ДОУ о намерении и гарантированном выполнении им государственных нормативных требований охраны труда и добровольно принятых на себя обязательств с учётом мнения выборного органа первичной профсоюзной организации или иного уполномоченного работниками органа.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2.2. Политика (стратегия) по охране труда:</w:t>
      </w:r>
    </w:p>
    <w:p>
      <w:pPr>
        <w:pStyle w:val="Normal"/>
        <w:numPr>
          <w:ilvl w:val="0"/>
          <w:numId w:val="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направлена на сохранение жизни и здоровья работников в процессе их трудовой деятельности;</w:t>
      </w:r>
    </w:p>
    <w:p>
      <w:pPr>
        <w:pStyle w:val="Normal"/>
        <w:numPr>
          <w:ilvl w:val="0"/>
          <w:numId w:val="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направлена на обеспечение безопасных условий труда, управление рисками производственного травматизма и профессиональной заболеваемости;</w:t>
      </w:r>
    </w:p>
    <w:p>
      <w:pPr>
        <w:pStyle w:val="Normal"/>
        <w:numPr>
          <w:ilvl w:val="0"/>
          <w:numId w:val="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соответствует специфике экономической деятельности и организации работ в ДОУ, особенностям профессиональных рисков и возможностям управления охраной труда;</w:t>
      </w:r>
    </w:p>
    <w:p>
      <w:pPr>
        <w:pStyle w:val="Normal"/>
        <w:numPr>
          <w:ilvl w:val="0"/>
          <w:numId w:val="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определяет соответствие оказываемых услуг в сфере образования, присмотра и ухода за детьми установленным требованиям безопасности;</w:t>
      </w:r>
    </w:p>
    <w:p>
      <w:pPr>
        <w:pStyle w:val="Normal"/>
        <w:numPr>
          <w:ilvl w:val="0"/>
          <w:numId w:val="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отражает цели в области охраны труда;</w:t>
      </w:r>
    </w:p>
    <w:p>
      <w:pPr>
        <w:pStyle w:val="Normal"/>
        <w:numPr>
          <w:ilvl w:val="0"/>
          <w:numId w:val="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включает обязательства администрации ДОУ по устранению опасностей и снижению уровней профессиональных рисков на рабочих местах;</w:t>
      </w:r>
    </w:p>
    <w:p>
      <w:pPr>
        <w:pStyle w:val="Normal"/>
        <w:numPr>
          <w:ilvl w:val="0"/>
          <w:numId w:val="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включает обязательство администрации ДОУ совершенствовать СУОТ;</w:t>
      </w:r>
    </w:p>
    <w:p>
      <w:pPr>
        <w:pStyle w:val="Normal"/>
        <w:numPr>
          <w:ilvl w:val="0"/>
          <w:numId w:val="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учитывает мнение выборного органа первичной профсоюзной организации или иного уполномоченного работниками органа.</w:t>
      </w:r>
    </w:p>
    <w:p>
      <w:pPr>
        <w:pStyle w:val="Normal"/>
        <w:tabs>
          <w:tab w:val="clear" w:pos="708"/>
          <w:tab w:val="left" w:pos="567" w:leader="none"/>
        </w:tabs>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2.3. Политику (стратегию) по охране труда рекомендуется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2.4. Заведующий ДОУ обеспечивает:</w:t>
      </w:r>
    </w:p>
    <w:p>
      <w:pPr>
        <w:pStyle w:val="Normal"/>
        <w:numPr>
          <w:ilvl w:val="0"/>
          <w:numId w:val="6"/>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предоставление ответственным лицам соответствующих полномочий для осуществления функций (обязанностей) в рамках функционирования СУОТ;</w:t>
      </w:r>
    </w:p>
    <w:p>
      <w:pPr>
        <w:pStyle w:val="Normal"/>
        <w:numPr>
          <w:ilvl w:val="0"/>
          <w:numId w:val="6"/>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документирование и доведение до сведения работников на всех уровнях управления ДОУ  информации об ответственных лицах и их полномочиях.</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2.5. Заведующий ДОУ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администрацией ДОУ в рамках функционирования СУОТ с учетом должностных и рабочих обязанностей. Данные полномочия рекомендуется доводить до сведения работников на всех уровнях управления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2.6. Разработка, внедрение и поддержка процесса взаимодействия с работниками и их участия  в разработке, планировании, внедрении мероприятий по улучшению условий и охраны труда обеспечивается с учетом:</w:t>
      </w:r>
    </w:p>
    <w:p>
      <w:pPr>
        <w:pStyle w:val="Normal"/>
        <w:numPr>
          <w:ilvl w:val="0"/>
          <w:numId w:val="7"/>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определения механизмов, времени и ресурсов для участия работников в обеспечении безопасности на своих рабочих местах;</w:t>
      </w:r>
    </w:p>
    <w:p>
      <w:pPr>
        <w:pStyle w:val="Normal"/>
        <w:numPr>
          <w:ilvl w:val="0"/>
          <w:numId w:val="7"/>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обеспечения своевременного доступа к четкой, понятной и актуальной информации по вопросам функционирования СУОТ;</w:t>
      </w:r>
    </w:p>
    <w:p>
      <w:pPr>
        <w:pStyle w:val="Normal"/>
        <w:numPr>
          <w:ilvl w:val="0"/>
          <w:numId w:val="7"/>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определения и устранения (минимизации) препятствий для участия работников в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2.7. В целях реализации механизмов консультаций и взаимодействия по охране труда рекомендуется обеспечивать координацию и взаимодействие по охране труда с работниками и (или) их уполномоченными представителями по следующим вопросам:</w:t>
      </w:r>
    </w:p>
    <w:p>
      <w:pPr>
        <w:pStyle w:val="Normal"/>
        <w:numPr>
          <w:ilvl w:val="0"/>
          <w:numId w:val="8"/>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установление (определение) потребностей и ожиданий работников в рамках построения, развития и функционирования СУОТ;</w:t>
      </w:r>
    </w:p>
    <w:p>
      <w:pPr>
        <w:pStyle w:val="Normal"/>
        <w:numPr>
          <w:ilvl w:val="0"/>
          <w:numId w:val="8"/>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установление целей в области охраны труда и планирование их достижения;</w:t>
      </w:r>
    </w:p>
    <w:p>
      <w:pPr>
        <w:pStyle w:val="Normal"/>
        <w:numPr>
          <w:ilvl w:val="0"/>
          <w:numId w:val="8"/>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выявление опасностей, оценка уровней профессиональных рисков и план мероприятий по управлению профессиональными рисками и улучшению условий труда;</w:t>
      </w:r>
    </w:p>
    <w:p>
      <w:pPr>
        <w:pStyle w:val="Normal"/>
        <w:numPr>
          <w:ilvl w:val="0"/>
          <w:numId w:val="8"/>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определение и закрепление в действующих локальных нормативных актах ДОУ функциональных (в том объеме, в котором это применимо) обязанностей, ответственности и полномочий в области охраны труда;</w:t>
      </w:r>
    </w:p>
    <w:p>
      <w:pPr>
        <w:pStyle w:val="Normal"/>
        <w:numPr>
          <w:ilvl w:val="0"/>
          <w:numId w:val="8"/>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2.7. 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комиссии по охране труда  или уполномоченных (доверенных) лиц по охране труда.</w:t>
      </w:r>
    </w:p>
    <w:p>
      <w:pPr>
        <w:pStyle w:val="Normal"/>
        <w:spacing w:lineRule="auto" w:line="240" w:before="0" w:after="0"/>
        <w:ind w:firstLine="851"/>
        <w:jc w:val="both"/>
        <w:rPr>
          <w:rFonts w:ascii="Times New Roman" w:hAnsi="Times New Roman" w:eastAsia="Times New Roman" w:cs="Times New Roman"/>
          <w:color w:val="2E2E2E"/>
          <w:sz w:val="24"/>
          <w:szCs w:val="24"/>
          <w:lang w:eastAsia="ru-RU"/>
        </w:rPr>
      </w:pPr>
      <w:r>
        <w:rPr>
          <w:rFonts w:eastAsia="Times New Roman" w:cs="Times New Roman" w:ascii="Times New Roman" w:hAnsi="Times New Roman"/>
          <w:color w:val="2E2E2E"/>
          <w:sz w:val="24"/>
          <w:szCs w:val="24"/>
          <w:lang w:eastAsia="ru-RU"/>
        </w:rPr>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b/>
          <w:bCs/>
          <w:color w:val="2E2E2E"/>
          <w:sz w:val="24"/>
          <w:szCs w:val="24"/>
          <w:lang w:eastAsia="ru-RU"/>
        </w:rPr>
        <w:t>3. Планирование</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3.1. При планировании СУОТ рекомендуется определять и принимать во внимание профессиональные риски, требующие принятия мер в целях предотвращения или уменьшения нежелательных последствий возможных нарушений положений СУОТ по безопасности.</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3.2. Управление профессиональными рисками представляет собой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3.3. Выявление (идентификация) опасностей, представляющих угрозу жизни и здоровью работников, и составление их перечня (реестра) рекомендуется проводить с учетом рекомендаций по классификации, обнаружению, распознаванию и описанию опасностей (см. Приказ Министерства труда и социальной защиты РФ от 31 января 2022 г. N 36). Примерный перечень опасностей представлен в приложении 1.</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3.4. 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ДОУ объектах.</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3.5. Оценку уровня профессиональных рисков, связанных с выявленными опасностями, рекомендуется осуществлять для всех выявленных (идентифицированных) опасностей.</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3.6. Методы оценки уровня профессиональных рисков рекомендуется определять с 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3.7. Допускается использование различных методов оценки уровня профессиональных рисков для разных процессов и операций с учетом специфики своей деятельности. Выбор метода и сложность процедуры оценки уровня профессиональных рисков осуществляется по результатам выявленных опасностей.</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3.8. Допускается привлечение для выявления (идентификации) опасностей и оценки уровней профессиональных рисков независимую организацию, обладающую необходимой компетенцией.</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3.9. Заведующий ДОУ обязан обеспечить систематическое выявление опасностей и профессиональных рисков, их регулярный анализ и оценку.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3.10. Меры управления профессиональными рисками (мероприятия по охране труда) направляются на исключение выявленных в ДОУ опасностей или снижение уровня профессионального риска.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3.11. Относящиеся к деятельности дошкольных образовательных учреждений государственные нормативные требования охраны труда учитываются при разработке, внедрении, поддержании и постоянном улучшении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3.12. 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3.13. В Плане мероприятий по охране труда в ДОУ рекомендуется указывать следующие примерные сведения:</w:t>
      </w:r>
    </w:p>
    <w:p>
      <w:pPr>
        <w:pStyle w:val="Normal"/>
        <w:numPr>
          <w:ilvl w:val="0"/>
          <w:numId w:val="9"/>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наименование мероприятий;</w:t>
      </w:r>
    </w:p>
    <w:p>
      <w:pPr>
        <w:pStyle w:val="Normal"/>
        <w:numPr>
          <w:ilvl w:val="0"/>
          <w:numId w:val="9"/>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результат по каждому мероприятию;</w:t>
      </w:r>
    </w:p>
    <w:p>
      <w:pPr>
        <w:pStyle w:val="Normal"/>
        <w:numPr>
          <w:ilvl w:val="0"/>
          <w:numId w:val="9"/>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сроки реализации по каждому мероприятию;</w:t>
      </w:r>
    </w:p>
    <w:p>
      <w:pPr>
        <w:pStyle w:val="Normal"/>
        <w:numPr>
          <w:ilvl w:val="0"/>
          <w:numId w:val="9"/>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ответственные лица за реализацию мероприятий;</w:t>
      </w:r>
    </w:p>
    <w:p>
      <w:pPr>
        <w:pStyle w:val="Normal"/>
        <w:numPr>
          <w:ilvl w:val="0"/>
          <w:numId w:val="9"/>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выделяемые ресурсы и источники финансирования мероприятий.</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3.14. При составлении Плана мероприятий по охране труда заведующий ДОУ вправе руководствоваться примерным перечнем мероприятий по улучшению условий и охраны труда и снижению уровней профессиональных рисков  (см. Приказ Министерства труда и социальной защиты РФ от 29 октября 2021 г. № 771н).</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3.15. Планирование мероприятий по охране труда учитывает изменения, которые влияют на функционирование СУОТ, включая:</w:t>
      </w:r>
    </w:p>
    <w:p>
      <w:pPr>
        <w:pStyle w:val="Normal"/>
        <w:numPr>
          <w:ilvl w:val="0"/>
          <w:numId w:val="10"/>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изменения в нормативных правовых актах, содержащих государственные нормативные требования охраны труда;</w:t>
      </w:r>
    </w:p>
    <w:p>
      <w:pPr>
        <w:pStyle w:val="Normal"/>
        <w:numPr>
          <w:ilvl w:val="0"/>
          <w:numId w:val="10"/>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изменения в условиях труда работниках;</w:t>
      </w:r>
    </w:p>
    <w:p>
      <w:pPr>
        <w:pStyle w:val="Normal"/>
        <w:numPr>
          <w:ilvl w:val="0"/>
          <w:numId w:val="10"/>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внедрение новых процессов или изменение услуг и процессов, сопровождающихся изменением расположения рабочих мест.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3.16. 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 рекомендуется учитывать имеющийся передовой опыт, финансовые, функциональные возможности.</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3.17. Цели в области охраны труда устанавливаются для достижения конкретных результатов, согласующихся с Политикой (стратегией) по охране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3.18. Принятые цели по охране труда рекомендуется достигать путем реализации процедур и комплекса мероприятий, предусмотренных разделом 2 настоящего Положения.</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3.19. Цели рекомендуется формулировать с учетом необходимости регулярной оценки их достижения, в том числе, по возможности, на основе измеримых показателей.</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3.20. Количество целей по охране труда в ДОУ рекомендуется определять с учетом специфики его образовательной деятельности, численности работников, показателей по условиям труда и профессиональным рискам, наличия несчастных случаев и профессиональных заболеваний.</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3.21. При выборе целей в области охраны труда рекомендуется учитывать их характеристики, в том числе:</w:t>
      </w:r>
    </w:p>
    <w:p>
      <w:pPr>
        <w:pStyle w:val="Normal"/>
        <w:numPr>
          <w:ilvl w:val="0"/>
          <w:numId w:val="1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возможность измерения (если практически осуществимо) или оценки их достижения;</w:t>
      </w:r>
    </w:p>
    <w:p>
      <w:pPr>
        <w:pStyle w:val="Normal"/>
        <w:numPr>
          <w:ilvl w:val="0"/>
          <w:numId w:val="1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возможность учета применимых норм, результатов оценки рисков, результатов консультаций с работниками.</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3.22. При планировании достижения целей рекомендуется определять:</w:t>
      </w:r>
    </w:p>
    <w:p>
      <w:pPr>
        <w:pStyle w:val="Normal"/>
        <w:numPr>
          <w:ilvl w:val="0"/>
          <w:numId w:val="12"/>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необходимые ресурсы;</w:t>
      </w:r>
    </w:p>
    <w:p>
      <w:pPr>
        <w:pStyle w:val="Normal"/>
        <w:numPr>
          <w:ilvl w:val="0"/>
          <w:numId w:val="12"/>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ответственных лиц;</w:t>
      </w:r>
    </w:p>
    <w:p>
      <w:pPr>
        <w:pStyle w:val="Normal"/>
        <w:numPr>
          <w:ilvl w:val="0"/>
          <w:numId w:val="12"/>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сроки достижения целей (цели могут быть долгосрочными и краткосрочными);</w:t>
      </w:r>
    </w:p>
    <w:p>
      <w:pPr>
        <w:pStyle w:val="Normal"/>
        <w:numPr>
          <w:ilvl w:val="0"/>
          <w:numId w:val="12"/>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способы и показатели оценки уровня достижения целей;</w:t>
      </w:r>
    </w:p>
    <w:p>
      <w:pPr>
        <w:pStyle w:val="Normal"/>
        <w:numPr>
          <w:ilvl w:val="0"/>
          <w:numId w:val="12"/>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влияние поставленных целей в области охраны труда на работу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3.23. Заведующий ДОУ по необходимости, ежегодно пересматривает цели в области охраны труда, исходя из результатов оценки эффективности СУОТ.</w:t>
      </w:r>
    </w:p>
    <w:p>
      <w:pPr>
        <w:pStyle w:val="Normal"/>
        <w:spacing w:lineRule="auto" w:line="240" w:before="0" w:after="0"/>
        <w:ind w:firstLine="851"/>
        <w:jc w:val="both"/>
        <w:rPr>
          <w:rFonts w:ascii="Times New Roman" w:hAnsi="Times New Roman" w:eastAsia="Times New Roman" w:cs="Times New Roman"/>
          <w:color w:val="2E2E2E"/>
          <w:sz w:val="24"/>
          <w:szCs w:val="24"/>
          <w:lang w:eastAsia="ru-RU"/>
        </w:rPr>
      </w:pPr>
      <w:r>
        <w:rPr>
          <w:rFonts w:eastAsia="Times New Roman" w:cs="Times New Roman" w:ascii="Times New Roman" w:hAnsi="Times New Roman"/>
          <w:color w:val="2E2E2E"/>
          <w:sz w:val="24"/>
          <w:szCs w:val="24"/>
          <w:lang w:eastAsia="ru-RU"/>
        </w:rPr>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b/>
          <w:bCs/>
          <w:color w:val="2E2E2E"/>
          <w:sz w:val="24"/>
          <w:szCs w:val="24"/>
          <w:lang w:eastAsia="ru-RU"/>
        </w:rPr>
        <w:t>4. Обеспечение функционирования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4.1. При планировании и реализации мероприятий по охране труда с целью достижения поставленных целей СУОТ рекомендуется использовать передовой отечественный и зарубежный опыт работы по улучшению условий и охраны труда, свои финансовые, функциональные возможности, а также учитывать возможные требования со стороны внешних заинтересованных сторон.</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4.2. Для обеспечения функционирования СУОТ заведующему ДОУ рекомендуется:</w:t>
      </w:r>
    </w:p>
    <w:p>
      <w:pPr>
        <w:pStyle w:val="Normal"/>
        <w:numPr>
          <w:ilvl w:val="0"/>
          <w:numId w:val="1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определять необходимые компетенции работников, которые влияют или могут влиять на безопасность (включая положения профессиональных стандартов);</w:t>
      </w:r>
    </w:p>
    <w:p>
      <w:pPr>
        <w:pStyle w:val="Normal"/>
        <w:numPr>
          <w:ilvl w:val="0"/>
          <w:numId w:val="1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обеспечивать подготовку работников в области выявления опасностей при выполнении работ и реализации мер реагирования на них;</w:t>
      </w:r>
    </w:p>
    <w:p>
      <w:pPr>
        <w:pStyle w:val="Normal"/>
        <w:numPr>
          <w:ilvl w:val="0"/>
          <w:numId w:val="1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обеспечивать непрерывную подготовку и повышение квалификации работников в области охраны труда;</w:t>
      </w:r>
    </w:p>
    <w:p>
      <w:pPr>
        <w:pStyle w:val="Normal"/>
        <w:numPr>
          <w:ilvl w:val="0"/>
          <w:numId w:val="1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документировать информацию об обучении и повышении квалификации работников в области охраны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4.3. Организация процесса обучения и проверки знаний требований охраны труда осуществляется в соответствии с нормами трудового законодательства.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4.4. Рекомендуется информировать работников в рамках СУОТ:</w:t>
      </w:r>
    </w:p>
    <w:p>
      <w:pPr>
        <w:pStyle w:val="Normal"/>
        <w:numPr>
          <w:ilvl w:val="0"/>
          <w:numId w:val="1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 политике и целях в области охраны труда;</w:t>
      </w:r>
    </w:p>
    <w:p>
      <w:pPr>
        <w:pStyle w:val="Normal"/>
        <w:numPr>
          <w:ilvl w:val="0"/>
          <w:numId w:val="1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 системе стимулирования за соблюдение государственных нормативных требований охраны труда и об ответственности за их нарушение;</w:t>
      </w:r>
    </w:p>
    <w:p>
      <w:pPr>
        <w:pStyle w:val="Normal"/>
        <w:numPr>
          <w:ilvl w:val="0"/>
          <w:numId w:val="1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 результатах расследования несчастных случаев в ДОУ и микротравм (микроповреждений);</w:t>
      </w:r>
    </w:p>
    <w:p>
      <w:pPr>
        <w:pStyle w:val="Normal"/>
        <w:numPr>
          <w:ilvl w:val="0"/>
          <w:numId w:val="1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об опасностях и рисках на своих рабочих местах, а также разработанных в их отношении мерах управления.</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4.5. Порядок информирования работников и порядок взаимодействия с работниками заведующему ДОУ рекомендуется установить с учетом специфики деятельности ДОУ с учетом форм (способов) и рекомендаций по размещению информационных материалов в целях информирования работников об их трудовых правах, включая права на безопасные условия и охрану труда, и примерного перечня таких информационных материалов.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4.6. При информировании работников допускается учитывать следующие формы доведения информации:</w:t>
      </w:r>
    </w:p>
    <w:p>
      <w:pPr>
        <w:pStyle w:val="Normal"/>
        <w:numPr>
          <w:ilvl w:val="0"/>
          <w:numId w:val="1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включение соответствующих положений в трудовой договор работника;</w:t>
      </w:r>
    </w:p>
    <w:p>
      <w:pPr>
        <w:pStyle w:val="Normal"/>
        <w:numPr>
          <w:ilvl w:val="0"/>
          <w:numId w:val="1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ознакомление работника с результатами специальной оценки условий труда и оценки профессиональных рисков;</w:t>
      </w:r>
    </w:p>
    <w:p>
      <w:pPr>
        <w:pStyle w:val="Normal"/>
        <w:numPr>
          <w:ilvl w:val="0"/>
          <w:numId w:val="1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проведения совещаний, круглых столов, семинаров, конференций, встреч и переговоров заинтересованных сторон;</w:t>
      </w:r>
    </w:p>
    <w:p>
      <w:pPr>
        <w:pStyle w:val="Normal"/>
        <w:numPr>
          <w:ilvl w:val="0"/>
          <w:numId w:val="1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изготовления и распространения аудиовизуальной продукции - информационных бюллетеней, плакатов, иной печатной продукции, видео- и аудиоматериалов;</w:t>
      </w:r>
    </w:p>
    <w:p>
      <w:pPr>
        <w:pStyle w:val="Normal"/>
        <w:numPr>
          <w:ilvl w:val="0"/>
          <w:numId w:val="1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использования информационных ресурсов в информационно-телекоммуникационной сети "</w:t>
      </w:r>
      <w:r>
        <w:rPr>
          <w:rFonts w:eastAsia="Times New Roman" w:cs="Times New Roman" w:ascii="Times New Roman" w:hAnsi="Times New Roman"/>
          <w:i/>
          <w:iCs/>
          <w:color w:val="2E2E2E"/>
          <w:sz w:val="24"/>
          <w:szCs w:val="24"/>
          <w:lang w:eastAsia="ru-RU"/>
        </w:rPr>
        <w:t>Интернет</w:t>
      </w:r>
      <w:r>
        <w:rPr>
          <w:rFonts w:eastAsia="Times New Roman" w:cs="Times New Roman" w:ascii="Times New Roman" w:hAnsi="Times New Roman"/>
          <w:color w:val="2E2E2E"/>
          <w:sz w:val="24"/>
          <w:szCs w:val="24"/>
          <w:lang w:eastAsia="ru-RU"/>
        </w:rPr>
        <w:t>";</w:t>
      </w:r>
    </w:p>
    <w:p>
      <w:pPr>
        <w:pStyle w:val="Normal"/>
        <w:numPr>
          <w:ilvl w:val="0"/>
          <w:numId w:val="1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размещения соответствующей информации в общедоступных местах;</w:t>
      </w:r>
    </w:p>
    <w:p>
      <w:pPr>
        <w:pStyle w:val="Normal"/>
        <w:numPr>
          <w:ilvl w:val="0"/>
          <w:numId w:val="1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проведение инструктажей, размещение стендов с необходимой информацией.</w:t>
      </w:r>
    </w:p>
    <w:p>
      <w:pPr>
        <w:pStyle w:val="Normal"/>
        <w:spacing w:lineRule="auto" w:line="240" w:before="0" w:after="0"/>
        <w:ind w:hanging="0" w:left="851"/>
        <w:jc w:val="both"/>
        <w:rPr>
          <w:rFonts w:ascii="Times New Roman" w:hAnsi="Times New Roman" w:eastAsia="Times New Roman" w:cs="Times New Roman"/>
          <w:color w:val="2E2E2E"/>
          <w:sz w:val="24"/>
          <w:szCs w:val="24"/>
          <w:lang w:eastAsia="ru-RU"/>
        </w:rPr>
      </w:pPr>
      <w:r>
        <w:rPr>
          <w:rFonts w:eastAsia="Times New Roman" w:cs="Times New Roman" w:ascii="Times New Roman" w:hAnsi="Times New Roman"/>
          <w:color w:val="2E2E2E"/>
          <w:sz w:val="24"/>
          <w:szCs w:val="24"/>
          <w:lang w:eastAsia="ru-RU"/>
        </w:rPr>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b/>
          <w:bCs/>
          <w:color w:val="2E2E2E"/>
          <w:sz w:val="24"/>
          <w:szCs w:val="24"/>
          <w:lang w:eastAsia="ru-RU"/>
        </w:rPr>
        <w:t>5. Функционирование</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 Основными процессами по охране труда являются:</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5.1.1. специальная оценка условий труда (далее - СОУТ);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5.1.2. оценка профессиональных рисков (далее - ОПР);</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5.1.3. проведение медицинских осмотров и освидетельствований работников;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5.1.4. проведение обучения работников;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5.1.5. обеспечение работников средствами индивидуальной защиты (далее - СИЗ);</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5.1.6. обеспечение безопасности работников при эксплуатации зданий и сооружений;</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5.1.7. обеспечение безопасности работников при эксплуатации оборудования;</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5.1.8. обеспечение безопасности работников при осуществлении технологических процессов;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5.1.9. обеспечение безопасности работников при эксплуатации применяемых инструментов;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5.1.10. обеспечение безопасности работников при применении сырья и материалов;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5.1.11. обеспечение безопасности работников подрядных организаций;</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5.1.12. санитарно-бытовое обеспечение работников;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5.1.13. 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5.1.14. обеспечение социального страхования работников;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5.1.15. взаимодействие с государственными надзорными органами, органами исполнительной власти и профсоюзного контроля;</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5.1.16. реагирование на аварийные ситуации;</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5.1.17. реагирование на несчастные случаи;</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5.1.18. реагирование на профессиональные заболевания;</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5.1.19. реагирование на обращения в связи с получением микроповреждений (микротравм) (приложение 3).</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5.2. Процессы СОУТ и ОПР являются базовыми процессами СУОТ организации. По результатам СОУТ и ОПР формируется и корректируется реализация других процессов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5.3. Процессы, представленные в подпунктах "</w:t>
      </w:r>
      <w:r>
        <w:rPr>
          <w:rFonts w:eastAsia="Times New Roman" w:cs="Times New Roman" w:ascii="Times New Roman" w:hAnsi="Times New Roman"/>
          <w:i/>
          <w:iCs/>
          <w:color w:val="2E2E2E"/>
          <w:sz w:val="24"/>
          <w:szCs w:val="24"/>
          <w:lang w:eastAsia="ru-RU"/>
        </w:rPr>
        <w:t>5.1.3-5.1.5</w:t>
      </w:r>
      <w:r>
        <w:rPr>
          <w:rFonts w:eastAsia="Times New Roman" w:cs="Times New Roman" w:ascii="Times New Roman" w:hAnsi="Times New Roman"/>
          <w:color w:val="2E2E2E"/>
          <w:sz w:val="24"/>
          <w:szCs w:val="24"/>
          <w:lang w:eastAsia="ru-RU"/>
        </w:rPr>
        <w:t>" настоящего Положения, представляют собой группу процессов, направленных на обеспечение допуска работника к самостоятельной работе.</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5.4. Процессы, представленные в подпунктах "</w:t>
      </w:r>
      <w:r>
        <w:rPr>
          <w:rFonts w:eastAsia="Times New Roman" w:cs="Times New Roman" w:ascii="Times New Roman" w:hAnsi="Times New Roman"/>
          <w:i/>
          <w:iCs/>
          <w:color w:val="2E2E2E"/>
          <w:sz w:val="24"/>
          <w:szCs w:val="24"/>
          <w:lang w:eastAsia="ru-RU"/>
        </w:rPr>
        <w:t>5.1.6-5.1.11</w:t>
      </w:r>
      <w:r>
        <w:rPr>
          <w:rFonts w:eastAsia="Times New Roman" w:cs="Times New Roman" w:ascii="Times New Roman" w:hAnsi="Times New Roman"/>
          <w:color w:val="2E2E2E"/>
          <w:sz w:val="24"/>
          <w:szCs w:val="24"/>
          <w:lang w:eastAsia="ru-RU"/>
        </w:rPr>
        <w:t>" настоящего Положения представляют собой группу процессов, направленных на обеспечение безопасной производственной среды в рамках функционирования процессов в организации;</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5.5. Процессы, представленные в подпунктах "</w:t>
      </w:r>
      <w:r>
        <w:rPr>
          <w:rFonts w:eastAsia="Times New Roman" w:cs="Times New Roman" w:ascii="Times New Roman" w:hAnsi="Times New Roman"/>
          <w:i/>
          <w:iCs/>
          <w:color w:val="2E2E2E"/>
          <w:sz w:val="24"/>
          <w:szCs w:val="24"/>
          <w:lang w:eastAsia="ru-RU"/>
        </w:rPr>
        <w:t>5.1.12-5.1.15</w:t>
      </w:r>
      <w:r>
        <w:rPr>
          <w:rFonts w:eastAsia="Times New Roman" w:cs="Times New Roman" w:ascii="Times New Roman" w:hAnsi="Times New Roman"/>
          <w:color w:val="2E2E2E"/>
          <w:sz w:val="24"/>
          <w:szCs w:val="24"/>
          <w:lang w:eastAsia="ru-RU"/>
        </w:rPr>
        <w:t>" настоящего Положения представляют собой группу сопутствующих процессов по охране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5.6. Процессы, представленные в подпунктах "</w:t>
      </w:r>
      <w:r>
        <w:rPr>
          <w:rFonts w:eastAsia="Times New Roman" w:cs="Times New Roman" w:ascii="Times New Roman" w:hAnsi="Times New Roman"/>
          <w:i/>
          <w:iCs/>
          <w:color w:val="2E2E2E"/>
          <w:sz w:val="24"/>
          <w:szCs w:val="24"/>
          <w:lang w:eastAsia="ru-RU"/>
        </w:rPr>
        <w:t>5.1.16-5.1.19</w:t>
      </w:r>
      <w:r>
        <w:rPr>
          <w:rFonts w:eastAsia="Times New Roman" w:cs="Times New Roman" w:ascii="Times New Roman" w:hAnsi="Times New Roman"/>
          <w:color w:val="2E2E2E"/>
          <w:sz w:val="24"/>
          <w:szCs w:val="24"/>
          <w:lang w:eastAsia="ru-RU"/>
        </w:rPr>
        <w:t>" настоящего Положения, представляют собой группу процессов реагирования на ситуации.</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5.7. Основными процессами и процедурами, устанавливающими порядок действий, направленных на обеспечение функционирования процессов и СУОТ в целом, являются:</w:t>
      </w:r>
    </w:p>
    <w:p>
      <w:pPr>
        <w:pStyle w:val="Normal"/>
        <w:numPr>
          <w:ilvl w:val="0"/>
          <w:numId w:val="16"/>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планирование мероприятий по охране труда;</w:t>
      </w:r>
    </w:p>
    <w:p>
      <w:pPr>
        <w:pStyle w:val="Normal"/>
        <w:numPr>
          <w:ilvl w:val="0"/>
          <w:numId w:val="16"/>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выполнение мероприятий по охране труда;</w:t>
      </w:r>
    </w:p>
    <w:p>
      <w:pPr>
        <w:pStyle w:val="Normal"/>
        <w:numPr>
          <w:ilvl w:val="0"/>
          <w:numId w:val="16"/>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планирования и выполнения мероприятий по охране труда, анализ по результатам контроля;</w:t>
      </w:r>
    </w:p>
    <w:p>
      <w:pPr>
        <w:pStyle w:val="Normal"/>
        <w:numPr>
          <w:ilvl w:val="0"/>
          <w:numId w:val="16"/>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формирование корректирующих действий по совершенствованию функционирования СУОТ;</w:t>
      </w:r>
    </w:p>
    <w:p>
      <w:pPr>
        <w:pStyle w:val="Normal"/>
        <w:numPr>
          <w:ilvl w:val="0"/>
          <w:numId w:val="16"/>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управление документами СУОТ;</w:t>
      </w:r>
    </w:p>
    <w:p>
      <w:pPr>
        <w:pStyle w:val="Normal"/>
        <w:numPr>
          <w:ilvl w:val="0"/>
          <w:numId w:val="16"/>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информирование работников и взаимодействие с ними;</w:t>
      </w:r>
    </w:p>
    <w:p>
      <w:pPr>
        <w:pStyle w:val="Normal"/>
        <w:numPr>
          <w:ilvl w:val="0"/>
          <w:numId w:val="16"/>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распределение обязанностей для обеспечения функционирования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5.8. Реагирование на несчастные случаи (включая несчастные случаи при возникновении аварийной ситуации) направлено на достижение следующей основной цели СУОТ - проведения профилактических мероприятий по отработке действий работников при возникновении таких ситуаций, расследования причин их возникновения, а также их устранения.</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5.9. Процесс реагирования на несчастные случаи включает в себя следующие подпроцессы:</w:t>
      </w:r>
    </w:p>
    <w:p>
      <w:pPr>
        <w:pStyle w:val="Normal"/>
        <w:numPr>
          <w:ilvl w:val="0"/>
          <w:numId w:val="17"/>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реагирование на несчастные случаи;</w:t>
      </w:r>
    </w:p>
    <w:p>
      <w:pPr>
        <w:pStyle w:val="Normal"/>
        <w:numPr>
          <w:ilvl w:val="0"/>
          <w:numId w:val="17"/>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расследование несчастных случаев.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5.10. С целью своевременного определения причин возникновения несчастных случаев и профессиональных заболеваний, в том числе микроповреждений (микротравм), заведующий ДОУ обеспечивает проведение расследования несчастных случаев и профессиональных заболеваний, а также оформление отчетных документов.</w:t>
      </w:r>
    </w:p>
    <w:p>
      <w:pPr>
        <w:pStyle w:val="Normal"/>
        <w:spacing w:lineRule="auto" w:line="240" w:before="0" w:after="0"/>
        <w:ind w:firstLine="851"/>
        <w:jc w:val="both"/>
        <w:rPr>
          <w:rFonts w:ascii="Times New Roman" w:hAnsi="Times New Roman" w:eastAsia="Times New Roman" w:cs="Times New Roman"/>
          <w:color w:val="2E2E2E"/>
          <w:sz w:val="24"/>
          <w:szCs w:val="24"/>
          <w:lang w:eastAsia="ru-RU"/>
        </w:rPr>
      </w:pPr>
      <w:r>
        <w:rPr>
          <w:rFonts w:eastAsia="Times New Roman" w:cs="Times New Roman" w:ascii="Times New Roman" w:hAnsi="Times New Roman"/>
          <w:color w:val="2E2E2E"/>
          <w:sz w:val="24"/>
          <w:szCs w:val="24"/>
          <w:lang w:eastAsia="ru-RU"/>
        </w:rPr>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b/>
          <w:bCs/>
          <w:color w:val="2E2E2E"/>
          <w:sz w:val="24"/>
          <w:szCs w:val="24"/>
          <w:lang w:eastAsia="ru-RU"/>
        </w:rPr>
        <w:t>6. Структура СУОТ и распределение обязанностей в сфере охраны труда между должностными лицами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6.1. Организационная структура системы управления охраной труда в ДОУ является трехуровневой:</w:t>
      </w:r>
    </w:p>
    <w:p>
      <w:pPr>
        <w:pStyle w:val="Normal"/>
        <w:numPr>
          <w:ilvl w:val="0"/>
          <w:numId w:val="18"/>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управление охраной труда на первом уровне в соответствии с имеющимися полномочиями осуществляют старший воспитатель, заместитель руководителя;</w:t>
      </w:r>
    </w:p>
    <w:p>
      <w:pPr>
        <w:pStyle w:val="Normal"/>
        <w:numPr>
          <w:ilvl w:val="0"/>
          <w:numId w:val="18"/>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управление охраной труда на втором уровне в соответствии с имеющимися полномочиями осуществляет заведующий, специалист по охране труда;</w:t>
      </w:r>
    </w:p>
    <w:p>
      <w:pPr>
        <w:pStyle w:val="Normal"/>
        <w:numPr>
          <w:ilvl w:val="0"/>
          <w:numId w:val="18"/>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управление охраной труда на третьем уровне в соответствии с имеющимися полномочиями осуществляет комиссия по охране труда.</w:t>
      </w:r>
    </w:p>
    <w:p>
      <w:pPr>
        <w:pStyle w:val="ListParagraph"/>
        <w:spacing w:lineRule="auto" w:line="240" w:before="0" w:after="0"/>
        <w:ind w:firstLine="851"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6.2. Распределение обязанностей в сфере охраны труда между должностными лицами ДОУ осуществляется заведующим с использованием уровней управления:</w:t>
      </w:r>
    </w:p>
    <w:tbl>
      <w:tblPr>
        <w:tblStyle w:val="a3"/>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shd w:fill="auto" w:val="clear"/>
          </w:tcPr>
          <w:p>
            <w:pPr>
              <w:pStyle w:val="ListParagraph"/>
              <w:spacing w:lineRule="auto" w:line="240" w:before="0" w:after="0"/>
              <w:ind w:hanging="0"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Наименование структуры</w:t>
            </w:r>
          </w:p>
        </w:tc>
        <w:tc>
          <w:tcPr>
            <w:tcW w:w="4785" w:type="dxa"/>
            <w:tcBorders/>
            <w:shd w:fill="auto" w:val="clear"/>
          </w:tcPr>
          <w:p>
            <w:pPr>
              <w:pStyle w:val="ListParagraph"/>
              <w:spacing w:lineRule="auto" w:line="240" w:before="0" w:after="0"/>
              <w:ind w:hanging="0"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Ответственное лицо/должность</w:t>
            </w:r>
          </w:p>
        </w:tc>
      </w:tr>
      <w:tr>
        <w:trPr/>
        <w:tc>
          <w:tcPr>
            <w:tcW w:w="4785" w:type="dxa"/>
            <w:tcBorders/>
            <w:shd w:fill="auto" w:val="clear"/>
          </w:tcPr>
          <w:p>
            <w:pPr>
              <w:pStyle w:val="ListParagraph"/>
              <w:spacing w:lineRule="auto" w:line="240" w:before="0" w:after="0"/>
              <w:ind w:hanging="0"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Технический персонал</w:t>
            </w:r>
          </w:p>
          <w:p>
            <w:pPr>
              <w:pStyle w:val="ListParagraph"/>
              <w:spacing w:lineRule="auto" w:line="240" w:before="0" w:after="0"/>
              <w:ind w:hanging="0" w:left="0"/>
              <w:contextualSpacing/>
              <w:jc w:val="both"/>
              <w:rPr>
                <w:sz w:val="24"/>
                <w:szCs w:val="24"/>
              </w:rPr>
            </w:pPr>
            <w:r>
              <w:rPr>
                <w:rFonts w:eastAsia="Times New Roman" w:cs="Times New Roman" w:ascii="Times New Roman" w:hAnsi="Times New Roman"/>
                <w:color w:val="2E2E2E"/>
                <w:sz w:val="24"/>
                <w:szCs w:val="24"/>
                <w:lang w:eastAsia="ru-RU"/>
              </w:rPr>
              <w:t>(дворник,  рабочий по комплексному обслуживанию здания,  кастелянша, уборщик служебных помещений, кладовщик, подсобный рабочий, пищеблок)</w:t>
            </w:r>
          </w:p>
        </w:tc>
        <w:tc>
          <w:tcPr>
            <w:tcW w:w="4785" w:type="dxa"/>
            <w:tcBorders/>
            <w:shd w:fill="auto" w:val="clear"/>
          </w:tcPr>
          <w:p>
            <w:pPr>
              <w:pStyle w:val="ListParagraph"/>
              <w:spacing w:lineRule="auto" w:line="240" w:before="0" w:after="0"/>
              <w:ind w:hanging="0"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Заместитель заведующего по административно-хозяйственной части</w:t>
            </w:r>
          </w:p>
        </w:tc>
      </w:tr>
      <w:tr>
        <w:trPr/>
        <w:tc>
          <w:tcPr>
            <w:tcW w:w="4785" w:type="dxa"/>
            <w:tcBorders/>
            <w:shd w:fill="auto" w:val="clear"/>
          </w:tcPr>
          <w:p>
            <w:pPr>
              <w:pStyle w:val="ListParagraph"/>
              <w:spacing w:lineRule="auto" w:line="240" w:before="0" w:after="0"/>
              <w:ind w:hanging="0"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Педагогический персонал</w:t>
            </w:r>
          </w:p>
          <w:p>
            <w:pPr>
              <w:pStyle w:val="ListParagraph"/>
              <w:spacing w:lineRule="auto" w:line="240" w:before="0" w:after="0"/>
              <w:ind w:hanging="0"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(старший воспитатель, воспитатель, учитель-логопед, педагог-психолог, музыкальный руководитель, инструктор по физической культуре)</w:t>
            </w:r>
          </w:p>
        </w:tc>
        <w:tc>
          <w:tcPr>
            <w:tcW w:w="4785" w:type="dxa"/>
            <w:tcBorders/>
            <w:shd w:fill="auto" w:val="clear"/>
          </w:tcPr>
          <w:p>
            <w:pPr>
              <w:pStyle w:val="ListParagraph"/>
              <w:spacing w:lineRule="auto" w:line="240" w:before="0" w:after="0"/>
              <w:ind w:hanging="0"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Заведующий/ старший воспитатель</w:t>
            </w:r>
          </w:p>
        </w:tc>
      </w:tr>
      <w:tr>
        <w:trPr/>
        <w:tc>
          <w:tcPr>
            <w:tcW w:w="4785" w:type="dxa"/>
            <w:tcBorders/>
            <w:shd w:fill="auto" w:val="clear"/>
          </w:tcPr>
          <w:p>
            <w:pPr>
              <w:pStyle w:val="ListParagraph"/>
              <w:spacing w:lineRule="auto" w:line="240" w:before="0" w:after="0"/>
              <w:ind w:hanging="0"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Учебно-вспомогательный персонал</w:t>
            </w:r>
          </w:p>
          <w:p>
            <w:pPr>
              <w:pStyle w:val="ListParagraph"/>
              <w:spacing w:lineRule="auto" w:line="240" w:before="0" w:after="0"/>
              <w:ind w:hanging="0"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(младшие воспитатели)</w:t>
            </w:r>
          </w:p>
        </w:tc>
        <w:tc>
          <w:tcPr>
            <w:tcW w:w="4785" w:type="dxa"/>
            <w:tcBorders/>
            <w:shd w:fill="auto" w:val="clear"/>
          </w:tcPr>
          <w:p>
            <w:pPr>
              <w:pStyle w:val="ListParagraph"/>
              <w:spacing w:lineRule="auto" w:line="240" w:before="0" w:after="0"/>
              <w:ind w:hanging="0"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Заместитель заведующего по административно-хозяйственной части / медицинский работник</w:t>
            </w:r>
          </w:p>
        </w:tc>
      </w:tr>
      <w:tr>
        <w:trPr/>
        <w:tc>
          <w:tcPr>
            <w:tcW w:w="4785" w:type="dxa"/>
            <w:tcBorders/>
            <w:shd w:fill="auto" w:val="clear"/>
          </w:tcPr>
          <w:p>
            <w:pPr>
              <w:pStyle w:val="ListParagraph"/>
              <w:spacing w:lineRule="auto" w:line="240" w:before="0" w:after="0"/>
              <w:ind w:hanging="0"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Административно-хозяйственный персонал</w:t>
            </w:r>
          </w:p>
          <w:p>
            <w:pPr>
              <w:pStyle w:val="ListParagraph"/>
              <w:spacing w:lineRule="auto" w:line="240" w:before="0" w:after="0"/>
              <w:ind w:hanging="0"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(заместитель заведующего по административно-хозяйственной части, делопроизводитель)</w:t>
            </w:r>
          </w:p>
        </w:tc>
        <w:tc>
          <w:tcPr>
            <w:tcW w:w="4785" w:type="dxa"/>
            <w:tcBorders/>
            <w:shd w:fill="auto" w:val="clear"/>
          </w:tcPr>
          <w:p>
            <w:pPr>
              <w:pStyle w:val="ListParagraph"/>
              <w:spacing w:lineRule="auto" w:line="240" w:before="0" w:after="0"/>
              <w:ind w:hanging="0"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Заведующий/ ответственное лицо по приказу заведующего</w:t>
            </w:r>
          </w:p>
        </w:tc>
      </w:tr>
    </w:tbl>
    <w:p>
      <w:pPr>
        <w:pStyle w:val="ListParagraph"/>
        <w:spacing w:lineRule="auto" w:line="240" w:before="0" w:after="0"/>
        <w:ind w:firstLine="851" w:left="0"/>
        <w:contextualSpacing/>
        <w:jc w:val="both"/>
        <w:rPr>
          <w:rFonts w:ascii="Times New Roman" w:hAnsi="Times New Roman" w:eastAsia="Times New Roman" w:cs="Times New Roman"/>
          <w:color w:val="2E2E2E"/>
          <w:sz w:val="24"/>
          <w:szCs w:val="24"/>
          <w:lang w:eastAsia="ru-RU"/>
        </w:rPr>
      </w:pPr>
      <w:r>
        <w:rPr>
          <w:rFonts w:eastAsia="Times New Roman" w:cs="Times New Roman" w:ascii="Times New Roman" w:hAnsi="Times New Roman"/>
          <w:color w:val="2E2E2E"/>
          <w:sz w:val="24"/>
          <w:szCs w:val="24"/>
          <w:lang w:eastAsia="ru-RU"/>
        </w:rPr>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6.3. Участие работников ДОУ в управлении охраной труда обеспечивает:</w:t>
      </w:r>
    </w:p>
    <w:p>
      <w:pPr>
        <w:pStyle w:val="Normal"/>
        <w:numPr>
          <w:ilvl w:val="0"/>
          <w:numId w:val="19"/>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повышение ответственности каждого за результаты своей деятельности;</w:t>
      </w:r>
    </w:p>
    <w:p>
      <w:pPr>
        <w:pStyle w:val="Normal"/>
        <w:numPr>
          <w:ilvl w:val="0"/>
          <w:numId w:val="19"/>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рост заинтересованности каждого в успехах дошкольного образовательного учреждения и своей причастности к решению общих задач;</w:t>
      </w:r>
    </w:p>
    <w:p>
      <w:pPr>
        <w:pStyle w:val="Normal"/>
        <w:numPr>
          <w:ilvl w:val="0"/>
          <w:numId w:val="19"/>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переход от разобщенных действий к солидарным и осознанным, работе в коллективе, сотрудничеству и социальному партнерству;</w:t>
      </w:r>
    </w:p>
    <w:p>
      <w:pPr>
        <w:pStyle w:val="Normal"/>
        <w:numPr>
          <w:ilvl w:val="0"/>
          <w:numId w:val="19"/>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мотивацию всех и каждого в отдельности к участию в постоянном улучшении деятельности дошкольного образовательного учреждения.</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6.4.</w:t>
      </w:r>
      <w:r>
        <w:rPr>
          <w:rFonts w:eastAsia="Times New Roman" w:cs="Times New Roman" w:ascii="Times New Roman" w:hAnsi="Times New Roman"/>
          <w:bCs/>
          <w:color w:val="2E2E2E"/>
          <w:sz w:val="24"/>
          <w:szCs w:val="24"/>
          <w:lang w:eastAsia="ru-RU"/>
        </w:rPr>
        <w:t>Обязанности заместителя заведующего по АХЧ</w:t>
      </w:r>
      <w:r>
        <w:rPr>
          <w:rFonts w:eastAsia="Times New Roman" w:cs="Times New Roman" w:ascii="Times New Roman" w:hAnsi="Times New Roman"/>
          <w:color w:val="2E2E2E"/>
          <w:sz w:val="24"/>
          <w:szCs w:val="24"/>
          <w:lang w:eastAsia="ru-RU"/>
        </w:rPr>
        <w:t>:</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6.4.1. Организует работу по охране труда с работниками учреждения (с техническим и учебно-вспомогательным персоналом)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6.4.2. Обеспечивает безопасное состояние производственных объектов, исправность оборудования, инструмента, приспособлений, инвентаря, транспортных, грузоподъемных и других технических средств.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6.4.3. Обеспечивает (в соответствии с приказом по учреждению) назначение ответственных за содержание в исправном состоянии технических средств, а также ответственных за безопасное производство работ. В течение смены осуществляет контроль за соблюдением работниками учреждения (техническим и учебно-вспомогательным персоналом)  требований охраны труда, за правильным применением средств коллективной и индивидуальной защиты.</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6.4.4. Обеспечивает содержание зданий, сооружений и территории ДОУ в соответствии с требованиями безопасной эксплуатации и охраны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6.4.5. Обеспечивает эксплуатацию, реконструкцию и ремонт санитарно-бытовых объектов и устройств.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6.4.6. Организует безопасное хранение, транспортировку и использование ядовитых, взрывоопасных, огнеопасных веществ и материалов.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6.4.7. Осуществляет материально-техническое обеспечение мероприятий соглашения по охране труда, коллективного договора и других локальных актов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6.4.8. Организует проведение обучения и инструктажей работников учреждения (технического и учебно-вспомогательного персонала)  по охране труда и пожарной безопасности.</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6.4.9. Выполняет другие функциональные обязанности, возложенные на него заведующим.</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6.5.   </w:t>
      </w:r>
      <w:r>
        <w:rPr>
          <w:rFonts w:eastAsia="Times New Roman" w:cs="Times New Roman" w:ascii="Times New Roman" w:hAnsi="Times New Roman"/>
          <w:bCs/>
          <w:color w:val="2E2E2E"/>
          <w:sz w:val="24"/>
          <w:szCs w:val="24"/>
          <w:lang w:eastAsia="ru-RU"/>
        </w:rPr>
        <w:t>Обязанности старшего воспитателя</w:t>
      </w:r>
      <w:r>
        <w:rPr>
          <w:rFonts w:eastAsia="Times New Roman" w:cs="Times New Roman" w:ascii="Times New Roman" w:hAnsi="Times New Roman"/>
          <w:color w:val="2E2E2E"/>
          <w:sz w:val="24"/>
          <w:szCs w:val="24"/>
          <w:lang w:eastAsia="ru-RU"/>
        </w:rPr>
        <w:t>:</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6.5.1. Организует работу по охране труда с работниками учреждения (с педагогическим персоналом) и обеспечивает на каждом рабочем месте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6.5.2. В течение смены осуществляет контроль за соблюдением работниками учреждения (педагогическим персоналом) требований охраны труда, за правильным применением средств коллективной и индивидуальной защиты.</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6.5.3. Организует проведение обучения и инструктажей работников ДОУ (педагогического персонала) по охране труда и пожарной безопасности, оказанию первой помощи пострадавшим.</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6.5.4. Организует первую помощь пострадавшему при несчастном случае, доставляет его в медицинское учреждение. Сообщает о несчастном случае заведующему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6.5.5. Участвует в работе по организации специальной оценки условий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6.5.6. Организует проведение административного контроля за состоянием условий и охраны труда работников (1-я ступень) — вопросы состояния охраны труда и контроль выполнения мероприятий коллективного договора с рассмотрением итогов на рабочем совещании.</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6.5.7. Выполняет другие функциональные обязанности, возложенные на него заведующим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6.6.  </w:t>
      </w:r>
      <w:r>
        <w:rPr>
          <w:rFonts w:eastAsia="Times New Roman" w:cs="Times New Roman" w:ascii="Times New Roman" w:hAnsi="Times New Roman"/>
          <w:bCs/>
          <w:color w:val="2E2E2E"/>
          <w:sz w:val="24"/>
          <w:szCs w:val="24"/>
          <w:lang w:eastAsia="ru-RU"/>
        </w:rPr>
        <w:t>Функции заведующего ДОУ</w:t>
      </w:r>
      <w:r>
        <w:rPr>
          <w:rFonts w:eastAsia="Times New Roman" w:cs="Times New Roman" w:ascii="Times New Roman" w:hAnsi="Times New Roman"/>
          <w:color w:val="2E2E2E"/>
          <w:sz w:val="24"/>
          <w:szCs w:val="24"/>
          <w:lang w:eastAsia="ru-RU"/>
        </w:rPr>
        <w:t>:</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6.6.1. Осуществляет общее управление охраной труда в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6.6.2. Обеспечивает соблюдение действующего трудового законодательства, выполнение постановлений и распоряжений вышестоящих органов, нормативных (правовых) документов по вопросам охраны труда, предписаний органов государственного надзора и контроля, решений трудового коллектива, коллективного договора в части охраны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6.6.3. Организует работу по созданию и обеспечению условий работы в соответствии с действующим законодательством о труде, межотраслевыми и ведомственными нормативными документами и иными локальными актами по охране труда и Уставом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6.6.4. Обеспечивает безопасную эксплуатацию зданий и сооружений, инженерно- технических коммуникаций, оборудования и принимает меры по приведению их в соответствие с действующими стандартами, правилами и нормами по охране труда. Своевременно организует осмотры и ремонт зданий (помещений);</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6.6.5. Утверждает должностные обязанности по обеспечению охраны труда и инструкции по охране труда для работников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6.6.6. Обеспечивает разработку и реализацию планов мероприятий по охране труда, целевых программ по охране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6.6.7. Принимает меры по внедрению предложений коллектива, направленных на дальнейшее улучшение и оздоровление условий работы;</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6.6.8. Выносит на обсуждение производственных совещаний и собраний трудового коллектива вопросы организации работы по охране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6.6.9. Отчитывается на собраниях трудового коллектива о состоянии охраны труда, выполнении мероприятий по улучшению условий труда, а также принимаемых мерах по устранению выявленных недостатков;</w:t>
      </w:r>
    </w:p>
    <w:p>
      <w:pPr>
        <w:pStyle w:val="Normal"/>
        <w:spacing w:lineRule="auto" w:line="240" w:before="0" w:after="0"/>
        <w:ind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2E2E2E"/>
          <w:sz w:val="24"/>
          <w:szCs w:val="24"/>
          <w:lang w:eastAsia="ru-RU"/>
        </w:rPr>
        <w:t>6.6.10</w:t>
      </w:r>
      <w:r>
        <w:rPr>
          <w:rFonts w:eastAsia="Times New Roman" w:cs="Times New Roman" w:ascii="Times New Roman" w:hAnsi="Times New Roman"/>
          <w:sz w:val="24"/>
          <w:szCs w:val="24"/>
          <w:lang w:eastAsia="ru-RU"/>
        </w:rPr>
        <w:t>. Обеспечивает финансирование мероприятий по охране труда, организует обеспечение работников ДОУ спецодеждой, спецобувью и другими СИЗ в соответствии с действующими типовыми нормами и инструкциями, а также лиц, проходящих производственную практику, при проведении общественно полезного и производительного труда и т.п.;</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6.6.11. Осуществляет поощрение работников ДОУ за активную работу по созданию и обеспечению здоровых и безопасных условий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6.6.12. Осуществляет привлечение к дисциплинарной ответственности лиц, виновных в нарушении законодательства о труде, правил и норм по охране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6.6.13. Проводит профилактическую работу по предупреждению травматизма и снижению заболеваемости работников, лиц, проходящих производственную практику;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6.6.14. Контролирует своевременное проведение предварительных (при приёме на работу) и периодических медицинских осмотров работников;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6.6.15. Обеспечивает выполнение требований действующих нормативных документов по охране труда, предписаний органов управления, государственного надзора и технической инспекции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6.6.16. Обеспечивает необходимые условия для проведения своевременного и объективного расследования несчастных случаев на производстве в соответствии с действующим законодательством;</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6.6.17. Утверждает по согласованию с профессиональным союзом (или другим представителем) инструкции по охране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6.6.18. Организует проведение вводного инструктажа по охране труда с вновь поступающими на работу лицами, инструктаж и стажировку на рабочем месте работникам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6.6.19. Планирует в установленном порядке обучение по охране труда работников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6.6.20. Обеспечивает нагрузку работающих с учетом их психофизических возможностей, организует оптимальные режимы труда и отдыха;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6.6.21. Останавливает производственную деятельность при наличии угрозы для здоровья работников, задействованных в ней;</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6.6.22. Обеспечивает оплату больничных листов нетрудоспособности и доплату лицам, работающим в неблагоприятных условиях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6.6.23. Несет персональную ответственность за обеспечение здоровых и безопасных условий труда в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6.7.   </w:t>
      </w:r>
      <w:r>
        <w:rPr>
          <w:rFonts w:eastAsia="Times New Roman" w:cs="Times New Roman" w:ascii="Times New Roman" w:hAnsi="Times New Roman"/>
          <w:bCs/>
          <w:color w:val="2E2E2E"/>
          <w:sz w:val="24"/>
          <w:szCs w:val="24"/>
          <w:lang w:eastAsia="ru-RU"/>
        </w:rPr>
        <w:t>Специалист по охране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6.7.1. Специалист по охране труда подчиняется непосредственно заведующему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6.7.2. Специалист по охране труда осуществляет свою деятельность во взаимодействии с комиссией по охране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6.7.3. Специалист по охране труда в своей деятельности руководствуются законами и иными нормативными правовыми актами об охране, соглашениями (отраслевым), коллективным договором, соглашением по охране труда, другими локальными нормативными правовыми актами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6.7.4. Основными задачами специалиста по охране труда являются:</w:t>
      </w:r>
    </w:p>
    <w:p>
      <w:pPr>
        <w:pStyle w:val="Normal"/>
        <w:numPr>
          <w:ilvl w:val="0"/>
          <w:numId w:val="20"/>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организация работы по обеспечению выполнения работниками требований охраны труда;</w:t>
      </w:r>
    </w:p>
    <w:p>
      <w:pPr>
        <w:pStyle w:val="Normal"/>
        <w:numPr>
          <w:ilvl w:val="0"/>
          <w:numId w:val="20"/>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ДОУ;</w:t>
      </w:r>
    </w:p>
    <w:p>
      <w:pPr>
        <w:pStyle w:val="Normal"/>
        <w:numPr>
          <w:ilvl w:val="0"/>
          <w:numId w:val="20"/>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pPr>
        <w:pStyle w:val="Normal"/>
        <w:numPr>
          <w:ilvl w:val="0"/>
          <w:numId w:val="20"/>
        </w:numPr>
        <w:tabs>
          <w:tab w:val="clear" w:pos="708"/>
          <w:tab w:val="left" w:pos="993" w:leader="none"/>
        </w:tabs>
        <w:spacing w:lineRule="auto" w:line="240" w:before="0" w:after="0"/>
        <w:ind w:firstLine="851" w:lef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4"/>
          <w:szCs w:val="24"/>
          <w:lang w:eastAsia="ru-RU"/>
        </w:rPr>
        <w:t>обеспечение работы кабинета (уголка) охраны труда, оснащение его необходимыми пособиями, средствами обучения и т.п.;</w:t>
      </w:r>
    </w:p>
    <w:p>
      <w:pPr>
        <w:pStyle w:val="Normal"/>
        <w:numPr>
          <w:ilvl w:val="0"/>
          <w:numId w:val="20"/>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разработка новых и пересмотр устаревших инструкций по охране труда;</w:t>
      </w:r>
    </w:p>
    <w:p>
      <w:pPr>
        <w:pStyle w:val="Normal"/>
        <w:numPr>
          <w:ilvl w:val="0"/>
          <w:numId w:val="20"/>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за выдачей работникам, подвергающимся воздействию вредных и (или) опасных факторов, а также на работах, связанных с загрязнениями или выполняемых в неблагоприятных температурных условиях, спецодежды, спецобуви и других необходимых средств индивидуальной защиты;</w:t>
      </w:r>
    </w:p>
    <w:p>
      <w:pPr>
        <w:pStyle w:val="Normal"/>
        <w:numPr>
          <w:ilvl w:val="0"/>
          <w:numId w:val="20"/>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за своевременным обеспечением работающих смывающими средствами в соответствии с установленными нормами;</w:t>
      </w:r>
    </w:p>
    <w:p>
      <w:pPr>
        <w:pStyle w:val="Normal"/>
        <w:numPr>
          <w:ilvl w:val="0"/>
          <w:numId w:val="20"/>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за своевременным проведением специальной оценки условий труда, паспортизации санитарно-технического состояния условий труда, разработкой и выполнением по их результатам мероприятий по приведению условий и охраны труда в соответствие с нормативными требованиями;</w:t>
      </w:r>
    </w:p>
    <w:p>
      <w:pPr>
        <w:pStyle w:val="Normal"/>
        <w:numPr>
          <w:ilvl w:val="0"/>
          <w:numId w:val="20"/>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изучение и распространение передового опыта по охране труда, пропаганда вопросов охраны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6.7.5. Для выполнения поставленных задач на специалиста по охране труда возлагаются следующие функции:</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учет и анализ состояния и причин производственного травматизма, профессиональных заболеваний и заболеваний, обусловленных вредными факторами;</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оказание помощи подразделениям в организации и проведении измерений параметров опасных и вредных факторов, в оценке травмобезопасности оборудования, приспособлений;</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организация, методическое руководство специальной оценкой условий труда и контроль за ее проведением;</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проведение проверок, обследований технического состояния зданий, сооружений, оборудования, машин и механизмов, приспособлений, средств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разработка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участие в составлении разделов коллективного договора, касающихся условий и охраны труда;</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участие в работе по составлению списков должностей, в соответствии с которыми работники должны проходить обязательные предварительные и периодические медицинские осмотры, а также должностей, имеющих право на льготы и компенсации за работу во вредных или опасных условиях труда;</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участие в работе комиссии по расследованию несчастных случаев;</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оформление и хранение документов, касающихся требований охраны труда, в соответствии с установленными сроками;</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составление отчетности по охране и условиям труда по формам, установленным Госкомстатом России;</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разработка программ обучения по охране труда;</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проведение вводного инструктажа по охране труда со всеми лицами, поступающими на работу, командированными, проходящими производственную практику;</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за обеспечением и правильным применением средств индивидуальной и коллективной защиты;</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организация своевременного обучения по охране труда работников ДОУ, в том числе главного врача, участие в работе комиссий по проверке знаний требований охраны труда;</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обеспечение должностных лиц, структурных подразделений ДОУ локальными нормативными правовыми актами, наглядными пособиями и учебными материалами по охране труда;</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организация совещаний по охране труда;</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доведение до сведения работников действующих законов и иных нормативных правовых актов об охране труда Российской Федерации, коллективного договора, соглашения по охране труда в ДОУ;</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за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за своевременным проведением соответствующими службами необходимых испытаний и технических освидетельствований оборудования, машин и механизмов;</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за организацией хранения, выдачи, стирки, химической чистки, сушки, обезжиривания и ремонта специальной одежды, специальной обуви и других средств индивидуальной и коллективной защиты;</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за правильным расходованием средств, выделенных на выполнение мероприятий по улучшению условий и охраны труда;</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за использованием труда женщин и лиц моложе 18 лет в соответствии с законодательством Российской Федерации;</w:t>
      </w:r>
    </w:p>
    <w:p>
      <w:pPr>
        <w:pStyle w:val="Normal"/>
        <w:numPr>
          <w:ilvl w:val="0"/>
          <w:numId w:val="21"/>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рассмотрение писем, заявлений, жалоб работников, касающихся вопросов условий и охраны труда, подготовка предложений заведующему ДОУ по устранению выявленных недостатков.</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6.8. </w:t>
      </w:r>
      <w:r>
        <w:rPr>
          <w:rFonts w:eastAsia="Times New Roman" w:cs="Times New Roman" w:ascii="Times New Roman" w:hAnsi="Times New Roman"/>
          <w:bCs/>
          <w:color w:val="2E2E2E"/>
          <w:sz w:val="24"/>
          <w:szCs w:val="24"/>
          <w:lang w:eastAsia="ru-RU"/>
        </w:rPr>
        <w:t>Комиссия по охране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6.8.1. Комиссия по охране труда (далее — Комиссия) является составной частью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6.8.2. Работа Комиссии строится на принципах социального партнерства.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6.8.3.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6.8.4. Комиссия в своей деятельности руководствуется законами и иными нормативными правовыми актами Российской Федерации, коллективным договором, иными локальными нормативными правовыми актами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6.8.5. Задачами Комиссии являются:</w:t>
      </w:r>
    </w:p>
    <w:p>
      <w:pPr>
        <w:pStyle w:val="Normal"/>
        <w:numPr>
          <w:ilvl w:val="0"/>
          <w:numId w:val="22"/>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разработка, на основе предложений членов Комиссии, программы совместных действий заведующего ДОУ, профессионального союза по обеспечению требований охраны труда, предупреждению производственного травматизма, профессиональных заболеваний;</w:t>
      </w:r>
    </w:p>
    <w:p>
      <w:pPr>
        <w:pStyle w:val="Normal"/>
        <w:numPr>
          <w:ilvl w:val="0"/>
          <w:numId w:val="22"/>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организация проведения проверок состояния условий и охраны труда на рабочих местах, подготовка соответствующих предложений заведующему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pPr>
        <w:pStyle w:val="Normal"/>
        <w:numPr>
          <w:ilvl w:val="0"/>
          <w:numId w:val="22"/>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опасных условиях труда, средствах индивидуальной защиты.</w:t>
      </w:r>
    </w:p>
    <w:p>
      <w:pPr>
        <w:pStyle w:val="Normal"/>
        <w:tabs>
          <w:tab w:val="clear" w:pos="708"/>
          <w:tab w:val="left" w:pos="993" w:leader="none"/>
        </w:tabs>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6.8.6. Функциями Комиссии являются:</w:t>
      </w:r>
    </w:p>
    <w:p>
      <w:pPr>
        <w:pStyle w:val="Normal"/>
        <w:numPr>
          <w:ilvl w:val="0"/>
          <w:numId w:val="2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рассмотрение предложений работодателя, работников, профессионального союза для выработки рекомендаций, направленных на улучшение условий и охраны труда работников;</w:t>
      </w:r>
    </w:p>
    <w:p>
      <w:pPr>
        <w:pStyle w:val="Normal"/>
        <w:numPr>
          <w:ilvl w:val="0"/>
          <w:numId w:val="2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участие в проведении обследований состояния условий и охраны труда в ДОУ, рассмотрении их результатов и выработке рекомендаций работодателю по устранению выявленных нарушений;</w:t>
      </w:r>
    </w:p>
    <w:p>
      <w:pPr>
        <w:pStyle w:val="Normal"/>
        <w:numPr>
          <w:ilvl w:val="0"/>
          <w:numId w:val="2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информирование работников ДОУ о проводимых мероприятиях по улучшению условий и охраны труда, профилактике производственного травматизма, профессиональных заболеваний;</w:t>
      </w:r>
    </w:p>
    <w:p>
      <w:pPr>
        <w:pStyle w:val="Normal"/>
        <w:numPr>
          <w:ilvl w:val="0"/>
          <w:numId w:val="2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доведение до сведения работников ДОУ результатов специальной оценки условий труда;</w:t>
      </w:r>
    </w:p>
    <w:p>
      <w:pPr>
        <w:pStyle w:val="Normal"/>
        <w:numPr>
          <w:ilvl w:val="0"/>
          <w:numId w:val="2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pPr>
        <w:pStyle w:val="Normal"/>
        <w:numPr>
          <w:ilvl w:val="0"/>
          <w:numId w:val="2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участие в рассмотрении вопросов финансирования мероприятий по охране труда, обязательного социального страхования от несчастных случаев и профессиональных заболеваний;</w:t>
      </w:r>
    </w:p>
    <w:p>
      <w:pPr>
        <w:pStyle w:val="Normal"/>
        <w:numPr>
          <w:ilvl w:val="0"/>
          <w:numId w:val="2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подготовка и представление заведующему предложений по совершенствованию работ по охране труда и сохранению здоровья работников;</w:t>
      </w:r>
    </w:p>
    <w:p>
      <w:pPr>
        <w:pStyle w:val="Normal"/>
        <w:numPr>
          <w:ilvl w:val="0"/>
          <w:numId w:val="23"/>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рассмотрение проектов локальных нормативных правовых актов по охране труда и подготовка предложений по ним заведующему, профсоюзному выборному органу.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6.9. </w:t>
      </w:r>
      <w:r>
        <w:rPr>
          <w:rFonts w:eastAsia="Times New Roman" w:cs="Times New Roman" w:ascii="Times New Roman" w:hAnsi="Times New Roman"/>
          <w:bCs/>
          <w:color w:val="2E2E2E"/>
          <w:sz w:val="24"/>
          <w:szCs w:val="24"/>
          <w:lang w:eastAsia="ru-RU"/>
        </w:rPr>
        <w:t>Работники ДОУ</w:t>
      </w:r>
      <w:r>
        <w:rPr>
          <w:rFonts w:eastAsia="Times New Roman" w:cs="Times New Roman" w:ascii="Times New Roman" w:hAnsi="Times New Roman"/>
          <w:color w:val="2E2E2E"/>
          <w:sz w:val="24"/>
          <w:szCs w:val="24"/>
          <w:lang w:eastAsia="ru-RU"/>
        </w:rPr>
        <w:t>:</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6.9.1. обязаны использовать безопасные методы проведения работ;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6.9.2. соблюдают требования охраны труда, установленные законами и иными нормативными правовыми актами, настоящим Положением, правильно применяют средства индивидуальной и коллективной защиты, выполняют другие обязанности, предусмотренные действующим законодательством;</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6.9.3. проходят обучение безопасным методам выполнения работ, инструктаж по охране труда, стажировку на рабочем месте, проверку знаний требований охраны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6.9.4. обязаны извещать заведующего или заместителя руководителя, старшего воспитателя, медработника (закреплённого за ДОУ) о ситуации, угрожающей жизни и здоровью людей, о каждом несчастном случае, происшедшем на производстве, или об ухудшении состояния своего здоровья;</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6.9.5. проходят обязательные медицинские осмотры;</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6.9.6. активно участвуют в деятельности ДОУ по обеспечению охраны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6.10 Уполномоченный по охране труда от профсоюза: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 xml:space="preserve">6.10.1. Уполномоченное (доверенное) лицо по охране труда профсоюзного комитета ДОУ осуществляет общественный (профсоюзный) контроль за состоянием охраны труда на рабочих местах, соблюдением заведующим ДОУ и должностными лицами структурных подразделений законных прав и интересов работников в области охраны труда, сохранением жизни и здоровья работников и воспитанников во время образовательной деятельности. </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 xml:space="preserve">6.10.2. В соответствии со статьей 370 Трудового Кодекса Российской Федерации уполномоченное лицо по охране труда профсоюзного комитета имеет право беспрепятственно проверять соблюдение требований охраны труда и вносить обязательные для рассмотрения заведующим и иными должностными лицами ДОУ предложения об устранении выявленных нарушений требований охраны труда. </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6.10.3. Уполномоченный по охране труда представляет профсоюзную сторону в комиссии по охране труда, создаваемой в детском саду.</w:t>
      </w:r>
    </w:p>
    <w:p>
      <w:pPr>
        <w:pStyle w:val="Normal"/>
        <w:spacing w:lineRule="auto" w:line="240" w:before="0" w:after="0"/>
        <w:ind w:firstLine="851"/>
        <w:jc w:val="both"/>
        <w:rPr>
          <w:rFonts w:ascii="Times New Roman" w:hAnsi="Times New Roman" w:eastAsia="Times New Roman" w:cs="Times New Roman"/>
          <w:color w:val="2E2E2E"/>
          <w:sz w:val="24"/>
          <w:szCs w:val="24"/>
          <w:lang w:eastAsia="ru-RU"/>
        </w:rPr>
      </w:pPr>
      <w:r>
        <w:rPr>
          <w:rFonts w:eastAsia="Times New Roman" w:cs="Times New Roman" w:ascii="Times New Roman" w:hAnsi="Times New Roman"/>
          <w:color w:val="2E2E2E"/>
          <w:sz w:val="24"/>
          <w:szCs w:val="24"/>
          <w:lang w:eastAsia="ru-RU"/>
        </w:rPr>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b/>
          <w:bCs/>
          <w:color w:val="2E2E2E"/>
          <w:sz w:val="24"/>
          <w:szCs w:val="24"/>
          <w:lang w:eastAsia="ru-RU"/>
        </w:rPr>
        <w:t>7. Управление документами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7.1. Документация системы управления охраной труда в ДОУ (приложение 2):</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правила внутреннего трудового распорядка;</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коллективный договор;</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положение об организации работы по охране труда;</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приказ заведующего о назначении лиц, ответственных за проведение работ с повышенной опасностью, за организацию безопасной работы;</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протокол собрания профессионального союза по выборам уполномоченных лиц по охране труда;</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приказ заведующего о создании комиссии по охране труда;</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протоколы проверки знаний по охране труда работников ДОУ;</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материалы по проведению специальной оценки условий труда;</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протоколы проверки сопротивления изоляции электросети и заземления оборудования;</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соглашение администрации и профессионального союза по охране труда;</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инструкции по охране труда;</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журнал учета выдачи инструкций по охране труда;</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журнал учета микроповреждений (микротравм) работников;</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программа вводного инструктажа по охране труда;</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программы первичных инструктажей по охране труда на рабочем месте;</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программы обучения по охране труда;</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журнал регистрации вводного инструктажа по охране труда;</w:t>
      </w:r>
      <w:bookmarkStart w:id="1" w:name="_GoBack"/>
      <w:bookmarkEnd w:id="1"/>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личные карточки учета и выдачи специальной одежды, обуви и средств индивидуальной защиты;</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журнал регистрации несчастных случаев с воспитанниками;</w:t>
      </w:r>
    </w:p>
    <w:p>
      <w:pPr>
        <w:pStyle w:val="Normal"/>
        <w:numPr>
          <w:ilvl w:val="0"/>
          <w:numId w:val="24"/>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и другие документы по охране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7.2. Копии документов учитывают и располагают в местах, доступных для ознакомления с ними работников ДОУ. Отмененные документы изымаются из обращения с принятием мер, исключающих их непреднамеренное использование в дальнейшем.</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7.3. Работники имеют право доступа к документам, относящимся к их производственной деятельности и здоровью.</w:t>
      </w:r>
    </w:p>
    <w:p>
      <w:pPr>
        <w:pStyle w:val="Normal"/>
        <w:spacing w:lineRule="auto" w:line="240" w:before="0" w:after="0"/>
        <w:ind w:firstLine="851"/>
        <w:jc w:val="both"/>
        <w:rPr>
          <w:rFonts w:ascii="Times New Roman" w:hAnsi="Times New Roman" w:eastAsia="Times New Roman" w:cs="Times New Roman"/>
          <w:color w:val="2E2E2E"/>
          <w:sz w:val="24"/>
          <w:szCs w:val="24"/>
          <w:lang w:eastAsia="ru-RU"/>
        </w:rPr>
      </w:pPr>
      <w:r>
        <w:rPr>
          <w:rFonts w:eastAsia="Times New Roman" w:cs="Times New Roman" w:ascii="Times New Roman" w:hAnsi="Times New Roman"/>
          <w:color w:val="2E2E2E"/>
          <w:sz w:val="24"/>
          <w:szCs w:val="24"/>
          <w:lang w:eastAsia="ru-RU"/>
        </w:rPr>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b/>
          <w:bCs/>
          <w:color w:val="2E2E2E"/>
          <w:sz w:val="24"/>
          <w:szCs w:val="24"/>
          <w:lang w:eastAsia="ru-RU"/>
        </w:rPr>
        <w:t>8. Передача и обмен информацией об охране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8.1. Обеспечение сбора, обработки передачи, обмена, использования информации по охране труда, а также своевременное внесение необходимых изменений позволяет проводить ее анализ и принимать решение по улучшению охраны труда в ДОУ.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8.2. Лица, ответственные за разработку и утверждение документов СУОТ, определены в ДОУ на всех уровнях управления. Заведующим также установлен порядок разработки, согласования, утверждения и пересмотра документов СУОТ, сроки их хранения.</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8.3. В качестве особого вида документов СУОТ, которые не подлежат пересмотру, актуализации, обновлению и изменению, являются контрольно-учетные документы СУОТ (записи), включая:</w:t>
      </w:r>
    </w:p>
    <w:p>
      <w:pPr>
        <w:pStyle w:val="Normal"/>
        <w:numPr>
          <w:ilvl w:val="0"/>
          <w:numId w:val="2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акты и иные записи данных, вытекающие из осуществления СУОТ;</w:t>
      </w:r>
    </w:p>
    <w:p>
      <w:pPr>
        <w:pStyle w:val="Normal"/>
        <w:numPr>
          <w:ilvl w:val="0"/>
          <w:numId w:val="2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журналы учета и акты записей данных об авариях, несчастных случаях, профессиональных заболеваниях;</w:t>
      </w:r>
    </w:p>
    <w:p>
      <w:pPr>
        <w:pStyle w:val="Normal"/>
        <w:numPr>
          <w:ilvl w:val="0"/>
          <w:numId w:val="2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pPr>
        <w:pStyle w:val="Normal"/>
        <w:numPr>
          <w:ilvl w:val="0"/>
          <w:numId w:val="25"/>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результаты контроля функционирования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8.4. 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w:t>
      </w:r>
    </w:p>
    <w:p>
      <w:pPr>
        <w:pStyle w:val="Normal"/>
        <w:spacing w:lineRule="auto" w:line="240" w:before="0" w:after="0"/>
        <w:ind w:firstLine="851"/>
        <w:jc w:val="both"/>
        <w:rPr>
          <w:rFonts w:ascii="Times New Roman" w:hAnsi="Times New Roman" w:eastAsia="Times New Roman" w:cs="Times New Roman"/>
          <w:color w:val="2E2E2E"/>
          <w:sz w:val="24"/>
          <w:szCs w:val="24"/>
          <w:lang w:eastAsia="ru-RU"/>
        </w:rPr>
      </w:pPr>
      <w:r>
        <w:rPr>
          <w:rFonts w:eastAsia="Times New Roman" w:cs="Times New Roman" w:ascii="Times New Roman" w:hAnsi="Times New Roman"/>
          <w:color w:val="2E2E2E"/>
          <w:sz w:val="24"/>
          <w:szCs w:val="24"/>
          <w:lang w:eastAsia="ru-RU"/>
        </w:rPr>
      </w:r>
    </w:p>
    <w:p>
      <w:pPr>
        <w:pStyle w:val="Normal"/>
        <w:spacing w:lineRule="auto" w:line="240" w:before="0" w:after="0"/>
        <w:ind w:firstLine="851"/>
        <w:jc w:val="both"/>
        <w:rPr>
          <w:rFonts w:ascii="Times New Roman" w:hAnsi="Times New Roman" w:eastAsia="Times New Roman" w:cs="Times New Roman"/>
          <w:b/>
          <w:color w:val="2E2E2E"/>
          <w:sz w:val="28"/>
          <w:szCs w:val="28"/>
          <w:lang w:eastAsia="ru-RU"/>
        </w:rPr>
      </w:pPr>
      <w:r>
        <w:rPr>
          <w:rFonts w:eastAsia="Times New Roman" w:cs="Times New Roman" w:ascii="Times New Roman" w:hAnsi="Times New Roman"/>
          <w:b/>
          <w:color w:val="2E2E2E"/>
          <w:sz w:val="24"/>
          <w:szCs w:val="24"/>
          <w:lang w:eastAsia="ru-RU"/>
        </w:rPr>
        <w:t>9. Оценка результатов деятельности</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 xml:space="preserve">9.1. Объектами контроля при функционировании СУОТ являются мероприятия, процессы и процедуры, реализуемые в рамках СУОТ. </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9.2. К основным видам контроля функционирования СУОТ относятся:</w:t>
      </w:r>
    </w:p>
    <w:p>
      <w:pPr>
        <w:pStyle w:val="ListParagraph"/>
        <w:numPr>
          <w:ilvl w:val="0"/>
          <w:numId w:val="27"/>
        </w:numPr>
        <w:tabs>
          <w:tab w:val="clear" w:pos="708"/>
          <w:tab w:val="left" w:pos="993" w:leader="none"/>
        </w:tabs>
        <w:spacing w:lineRule="auto" w:line="240" w:before="0" w:after="0"/>
        <w:ind w:firstLine="851"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состояния рабочего места, оборудования, инструментов, сырья, материалов; контроль выполнения работ работником в рамках производственных и технологических процессов; выявление опасностей и определение уровня профессионального риска; контроль показателей реализации мероприятий, процессов и процедур;</w:t>
      </w:r>
    </w:p>
    <w:p>
      <w:pPr>
        <w:pStyle w:val="ListParagraph"/>
        <w:numPr>
          <w:ilvl w:val="0"/>
          <w:numId w:val="27"/>
        </w:numPr>
        <w:tabs>
          <w:tab w:val="clear" w:pos="708"/>
          <w:tab w:val="left" w:pos="993" w:leader="none"/>
        </w:tabs>
        <w:spacing w:lineRule="auto" w:line="240" w:before="0" w:after="0"/>
        <w:ind w:firstLine="709" w:left="142"/>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выполнения процессов, имеющих периодический характер (СОУТ, обучение по охране труда, проведение медицинских осмотров);</w:t>
      </w:r>
    </w:p>
    <w:p>
      <w:pPr>
        <w:pStyle w:val="ListParagraph"/>
        <w:numPr>
          <w:ilvl w:val="0"/>
          <w:numId w:val="27"/>
        </w:numPr>
        <w:tabs>
          <w:tab w:val="clear" w:pos="708"/>
          <w:tab w:val="left" w:pos="993" w:leader="none"/>
        </w:tabs>
        <w:spacing w:lineRule="auto" w:line="240" w:before="0" w:after="0"/>
        <w:ind w:firstLine="709" w:left="142"/>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учет и анализ несчастных случаев, профессиональных заболеваний;</w:t>
      </w:r>
    </w:p>
    <w:p>
      <w:pPr>
        <w:pStyle w:val="ListParagraph"/>
        <w:numPr>
          <w:ilvl w:val="0"/>
          <w:numId w:val="27"/>
        </w:numPr>
        <w:tabs>
          <w:tab w:val="clear" w:pos="708"/>
          <w:tab w:val="left" w:pos="993" w:leader="none"/>
        </w:tabs>
        <w:spacing w:lineRule="auto" w:line="240" w:before="0" w:after="0"/>
        <w:ind w:firstLine="709" w:left="142"/>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pPr>
        <w:pStyle w:val="ListParagraph"/>
        <w:numPr>
          <w:ilvl w:val="0"/>
          <w:numId w:val="27"/>
        </w:numPr>
        <w:tabs>
          <w:tab w:val="clear" w:pos="708"/>
          <w:tab w:val="left" w:pos="993" w:leader="none"/>
        </w:tabs>
        <w:spacing w:lineRule="auto" w:line="240" w:before="0" w:after="0"/>
        <w:ind w:firstLine="709" w:left="142"/>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контроль эффективности функционирования отдельных элементов СУОТ и системы в целом.</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 xml:space="preserve">9.3. В рамках контрольных мероприятий может использоваться фото- и видеофиксация. </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 xml:space="preserve">9.4. Виды и методы контроля применительно к конкретным процессам (процедурам) определяются планом мероприятий. По результатам контроля составляется акт. </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 xml:space="preserve">9.5. Ежегодно ДОУ составляет отчет о функционировании СУОТ. </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9.6. В ежегодном отчете отражается оценка следующих показателей:</w:t>
      </w:r>
    </w:p>
    <w:p>
      <w:pPr>
        <w:pStyle w:val="ListParagraph"/>
        <w:numPr>
          <w:ilvl w:val="1"/>
          <w:numId w:val="28"/>
        </w:numPr>
        <w:tabs>
          <w:tab w:val="clear" w:pos="708"/>
          <w:tab w:val="left" w:pos="993" w:leader="none"/>
        </w:tabs>
        <w:spacing w:lineRule="auto" w:line="240" w:before="0" w:after="0"/>
        <w:ind w:firstLine="851"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достижение целей в области охраны труда;</w:t>
      </w:r>
    </w:p>
    <w:p>
      <w:pPr>
        <w:pStyle w:val="ListParagraph"/>
        <w:numPr>
          <w:ilvl w:val="1"/>
          <w:numId w:val="28"/>
        </w:numPr>
        <w:tabs>
          <w:tab w:val="clear" w:pos="708"/>
          <w:tab w:val="left" w:pos="993" w:leader="none"/>
        </w:tabs>
        <w:spacing w:lineRule="auto" w:line="240" w:before="0" w:after="0"/>
        <w:ind w:firstLine="851"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способность СУОТ, действующей в ДОУ, обеспечивать выполнение обязанностей, отраженных в политике в области охраны труда;</w:t>
      </w:r>
    </w:p>
    <w:p>
      <w:pPr>
        <w:pStyle w:val="ListParagraph"/>
        <w:numPr>
          <w:ilvl w:val="1"/>
          <w:numId w:val="28"/>
        </w:numPr>
        <w:tabs>
          <w:tab w:val="clear" w:pos="708"/>
          <w:tab w:val="left" w:pos="993" w:leader="none"/>
        </w:tabs>
        <w:spacing w:lineRule="auto" w:line="240" w:before="0" w:after="0"/>
        <w:ind w:firstLine="851"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эффективность действий на всех уровнях управления;</w:t>
      </w:r>
    </w:p>
    <w:p>
      <w:pPr>
        <w:pStyle w:val="ListParagraph"/>
        <w:numPr>
          <w:ilvl w:val="1"/>
          <w:numId w:val="28"/>
        </w:numPr>
        <w:tabs>
          <w:tab w:val="clear" w:pos="708"/>
          <w:tab w:val="left" w:pos="993" w:leader="none"/>
        </w:tabs>
        <w:spacing w:lineRule="auto" w:line="240" w:before="0" w:after="0"/>
        <w:ind w:firstLine="851"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необходимость дальнейшего развития СУОТ, включая корректировку целей в области охраны труда, перераспределение обязанностей должностных лиц, перераспределение ресурсов;</w:t>
      </w:r>
    </w:p>
    <w:p>
      <w:pPr>
        <w:pStyle w:val="ListParagraph"/>
        <w:numPr>
          <w:ilvl w:val="1"/>
          <w:numId w:val="28"/>
        </w:numPr>
        <w:tabs>
          <w:tab w:val="clear" w:pos="708"/>
          <w:tab w:val="left" w:pos="993" w:leader="none"/>
        </w:tabs>
        <w:spacing w:lineRule="auto" w:line="240" w:before="0" w:after="0"/>
        <w:ind w:firstLine="851"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необходимость своевременной подготовки работников, которых затронут решения об изменении СУОТ;</w:t>
      </w:r>
    </w:p>
    <w:p>
      <w:pPr>
        <w:pStyle w:val="ListParagraph"/>
        <w:numPr>
          <w:ilvl w:val="1"/>
          <w:numId w:val="28"/>
        </w:numPr>
        <w:tabs>
          <w:tab w:val="clear" w:pos="708"/>
          <w:tab w:val="left" w:pos="993" w:leader="none"/>
        </w:tabs>
        <w:spacing w:lineRule="auto" w:line="240" w:before="0" w:after="0"/>
        <w:ind w:firstLine="851"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необходимость изменения критериев оценки эффективности функционирования СУОТ;</w:t>
      </w:r>
    </w:p>
    <w:p>
      <w:pPr>
        <w:pStyle w:val="ListParagraph"/>
        <w:numPr>
          <w:ilvl w:val="1"/>
          <w:numId w:val="28"/>
        </w:numPr>
        <w:tabs>
          <w:tab w:val="clear" w:pos="708"/>
          <w:tab w:val="left" w:pos="993" w:leader="none"/>
        </w:tabs>
        <w:spacing w:lineRule="auto" w:line="240" w:before="0" w:after="0"/>
        <w:ind w:firstLine="851"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полнота идентификации опасностей и управления профессиональными рисками в рамках СУОТ;</w:t>
      </w:r>
    </w:p>
    <w:p>
      <w:pPr>
        <w:pStyle w:val="ListParagraph"/>
        <w:numPr>
          <w:ilvl w:val="1"/>
          <w:numId w:val="28"/>
        </w:numPr>
        <w:tabs>
          <w:tab w:val="clear" w:pos="708"/>
          <w:tab w:val="left" w:pos="993" w:leader="none"/>
        </w:tabs>
        <w:spacing w:lineRule="auto" w:line="240" w:before="0" w:after="0"/>
        <w:ind w:firstLine="851"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необходимость выработки корректирующих мер.</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9.7. Показатели контроля функционирования СУОТ определяются, в частности, следующими данными:</w:t>
      </w:r>
    </w:p>
    <w:p>
      <w:pPr>
        <w:pStyle w:val="ListParagraph"/>
        <w:numPr>
          <w:ilvl w:val="1"/>
          <w:numId w:val="28"/>
        </w:numPr>
        <w:tabs>
          <w:tab w:val="clear" w:pos="708"/>
          <w:tab w:val="left" w:pos="1134" w:leader="none"/>
        </w:tabs>
        <w:spacing w:lineRule="auto" w:line="240" w:before="0" w:after="0"/>
        <w:ind w:firstLine="851"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абсолютными показателями (время на выполнение, стоимость, технические показатели и пр.);</w:t>
      </w:r>
    </w:p>
    <w:p>
      <w:pPr>
        <w:pStyle w:val="ListParagraph"/>
        <w:numPr>
          <w:ilvl w:val="1"/>
          <w:numId w:val="28"/>
        </w:numPr>
        <w:tabs>
          <w:tab w:val="clear" w:pos="708"/>
          <w:tab w:val="left" w:pos="1134" w:leader="none"/>
        </w:tabs>
        <w:spacing w:lineRule="auto" w:line="240" w:before="0" w:after="0"/>
        <w:ind w:firstLine="851"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относительными показателями (соотношение планируемых и фактических результатов, показатели в сравнении с другими процессами и пр.);</w:t>
      </w:r>
    </w:p>
    <w:p>
      <w:pPr>
        <w:pStyle w:val="ListParagraph"/>
        <w:numPr>
          <w:ilvl w:val="1"/>
          <w:numId w:val="28"/>
        </w:numPr>
        <w:tabs>
          <w:tab w:val="clear" w:pos="708"/>
          <w:tab w:val="left" w:pos="1134" w:leader="none"/>
        </w:tabs>
        <w:spacing w:lineRule="auto" w:line="240" w:before="0" w:after="0"/>
        <w:ind w:firstLine="851" w:left="0"/>
        <w:contextualSpacing/>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качественными показателями (актуальность и доступность исходных данных для реализации процессов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9.8. 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w:t>
      </w:r>
    </w:p>
    <w:p>
      <w:pPr>
        <w:pStyle w:val="Normal"/>
        <w:spacing w:lineRule="auto" w:line="240" w:before="0" w:after="0"/>
        <w:ind w:firstLine="851"/>
        <w:jc w:val="both"/>
        <w:rPr>
          <w:rFonts w:ascii="Times New Roman" w:hAnsi="Times New Roman" w:eastAsia="Times New Roman" w:cs="Times New Roman"/>
          <w:color w:val="2E2E2E"/>
          <w:sz w:val="24"/>
          <w:szCs w:val="24"/>
          <w:lang w:eastAsia="ru-RU"/>
        </w:rPr>
      </w:pPr>
      <w:r>
        <w:rPr>
          <w:rFonts w:eastAsia="Times New Roman" w:cs="Times New Roman" w:ascii="Times New Roman" w:hAnsi="Times New Roman"/>
          <w:color w:val="2E2E2E"/>
          <w:sz w:val="24"/>
          <w:szCs w:val="24"/>
          <w:lang w:eastAsia="ru-RU"/>
        </w:rPr>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b/>
          <w:bCs/>
          <w:color w:val="2E2E2E"/>
          <w:sz w:val="24"/>
          <w:szCs w:val="24"/>
          <w:lang w:eastAsia="ru-RU"/>
        </w:rPr>
        <w:t>11. Улучшение функционирования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11.1. В целях улучшения функционирования СУОТ определяются и реализуются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11.2. 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(процедур) СУОТ, так и СУОТ в целом.</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11.3. Порядок формирования корректирующих действий по совершенствованию функционирования СУОТ заведующему ДОУ рекомендуется определить с учетом специфики его деятельности в локальном акте о создании своей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11.4. С целью организации планирования улучшения функционирования СУОТ заведующему ДОУ рекомендуется установить и фиксировать порядок разработки корректирующих действий по совершенствованию функционирования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11.5. Корректирующие действия рекомендуется разрабатывать в том числе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11.6. 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w:t>
      </w:r>
    </w:p>
    <w:p>
      <w:pPr>
        <w:pStyle w:val="Normal"/>
        <w:numPr>
          <w:ilvl w:val="0"/>
          <w:numId w:val="26"/>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улучшения показателей деятельности ДОУ в области охраны труда;</w:t>
      </w:r>
    </w:p>
    <w:p>
      <w:pPr>
        <w:pStyle w:val="Normal"/>
        <w:numPr>
          <w:ilvl w:val="0"/>
          <w:numId w:val="26"/>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поддержки участия работников в реализации мероприятий по постоянному улучшению СУОТ;</w:t>
      </w:r>
    </w:p>
    <w:p>
      <w:pPr>
        <w:pStyle w:val="Normal"/>
        <w:numPr>
          <w:ilvl w:val="0"/>
          <w:numId w:val="26"/>
        </w:numPr>
        <w:tabs>
          <w:tab w:val="clear" w:pos="708"/>
          <w:tab w:val="left" w:pos="993" w:leader="none"/>
        </w:tabs>
        <w:spacing w:lineRule="auto" w:line="240" w:before="0" w:after="0"/>
        <w:ind w:firstLine="851" w:left="0"/>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доведения до сведения работников информации о соответствующих результатах деятельности ДОУ по постоянному улучшению СУОТ.</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11.7. Процессы СУОТ связаны между собой, поэтому их не рекомендуется рассматривать отдельно друг от друга.</w:t>
      </w:r>
    </w:p>
    <w:p>
      <w:pPr>
        <w:pStyle w:val="Normal"/>
        <w:spacing w:lineRule="auto" w:line="240" w:before="0" w:after="0"/>
        <w:ind w:firstLine="851"/>
        <w:jc w:val="both"/>
        <w:rPr>
          <w:rFonts w:ascii="Times New Roman" w:hAnsi="Times New Roman" w:eastAsia="Times New Roman" w:cs="Times New Roman"/>
          <w:color w:val="2E2E2E"/>
          <w:sz w:val="24"/>
          <w:szCs w:val="24"/>
          <w:lang w:eastAsia="ru-RU"/>
        </w:rPr>
      </w:pPr>
      <w:r>
        <w:rPr>
          <w:rFonts w:eastAsia="Times New Roman" w:cs="Times New Roman" w:ascii="Times New Roman" w:hAnsi="Times New Roman"/>
          <w:color w:val="2E2E2E"/>
          <w:sz w:val="24"/>
          <w:szCs w:val="24"/>
          <w:lang w:eastAsia="ru-RU"/>
        </w:rPr>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b/>
          <w:bCs/>
          <w:color w:val="2E2E2E"/>
          <w:sz w:val="24"/>
          <w:szCs w:val="24"/>
          <w:lang w:eastAsia="ru-RU"/>
        </w:rPr>
        <w:t>12. Заключительные положения</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12.1. Настоящее Положение о системе управления охраной труда (СУОТ) является локальным нормативным актом ДОУ, утверждается (вводится в действие) приказом заведующего детским садом с учетом мнения выборного профсоюзного органа и (или) иного уполномоченного работниками представительного органа.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12.2. При изменении действующего законодательства настоящее Положение подлежит пересмотру.</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12.3. Во всем остальном, не предусмотренном настоящим Положением, должностные лица ДОУ обязаны руководствоваться действующим законодательством в сфере охраны труда.</w:t>
      </w:r>
    </w:p>
    <w:p>
      <w:pPr>
        <w:pStyle w:val="Normal"/>
        <w:spacing w:lineRule="auto" w:line="240" w:before="0" w:after="0"/>
        <w:ind w:firstLine="851"/>
        <w:jc w:val="both"/>
        <w:rPr>
          <w:rFonts w:ascii="Times New Roman" w:hAnsi="Times New Roman" w:eastAsia="Times New Roman" w:cs="Times New Roman"/>
          <w:color w:val="2E2E2E"/>
          <w:sz w:val="28"/>
          <w:szCs w:val="28"/>
          <w:lang w:eastAsia="ru-RU"/>
        </w:rPr>
      </w:pPr>
      <w:r>
        <w:rPr>
          <w:rFonts w:eastAsia="Times New Roman" w:cs="Times New Roman" w:ascii="Times New Roman" w:hAnsi="Times New Roman"/>
          <w:color w:val="2E2E2E"/>
          <w:sz w:val="24"/>
          <w:szCs w:val="24"/>
          <w:lang w:eastAsia="ru-RU"/>
        </w:rPr>
        <w:t>12.4. С настоящим Положением должны быть ознакомлены все работники ДОУ при приеме на работу.</w:t>
      </w:r>
    </w:p>
    <w:p>
      <w:pPr>
        <w:pStyle w:val="Normal"/>
        <w:spacing w:lineRule="auto" w:line="240" w:before="0" w:after="0"/>
        <w:ind w:firstLine="851"/>
        <w:jc w:val="both"/>
        <w:rPr>
          <w:rFonts w:ascii="Times New Roman" w:hAnsi="Times New Roman" w:eastAsia="Times New Roman" w:cs="Times New Roman"/>
          <w:b/>
          <w:bCs/>
          <w:color w:val="2E2E2E"/>
          <w:sz w:val="24"/>
          <w:szCs w:val="24"/>
          <w:lang w:eastAsia="ru-RU"/>
        </w:rPr>
      </w:pPr>
      <w:r>
        <w:rPr>
          <w:rFonts w:eastAsia="Times New Roman" w:cs="Times New Roman" w:ascii="Times New Roman" w:hAnsi="Times New Roman"/>
          <w:b/>
          <w:bCs/>
          <w:color w:val="2E2E2E"/>
          <w:sz w:val="24"/>
          <w:szCs w:val="24"/>
          <w:lang w:eastAsia="ru-RU"/>
        </w:rPr>
      </w:r>
    </w:p>
    <w:p>
      <w:pPr>
        <w:pStyle w:val="Normal"/>
        <w:spacing w:lineRule="auto" w:line="240" w:before="0" w:after="0"/>
        <w:ind w:hanging="0" w:left="4395"/>
        <w:jc w:val="both"/>
        <w:rPr>
          <w:rFonts w:ascii="Times New Roman" w:hAnsi="Times New Roman" w:eastAsia="Times New Roman" w:cs="Times New Roman"/>
          <w:bCs/>
          <w:color w:val="2E2E2E"/>
          <w:sz w:val="24"/>
          <w:szCs w:val="24"/>
          <w:lang w:eastAsia="ru-RU"/>
        </w:rPr>
      </w:pPr>
      <w:r>
        <w:rPr>
          <w:rFonts w:eastAsia="Times New Roman" w:cs="Times New Roman" w:ascii="Times New Roman" w:hAnsi="Times New Roman"/>
          <w:bCs/>
          <w:color w:val="2E2E2E"/>
          <w:sz w:val="24"/>
          <w:szCs w:val="24"/>
          <w:lang w:eastAsia="ru-RU"/>
        </w:rPr>
      </w:r>
    </w:p>
    <w:p>
      <w:pPr>
        <w:pStyle w:val="Normal"/>
        <w:spacing w:lineRule="auto" w:line="240" w:before="0" w:after="0"/>
        <w:ind w:hanging="0" w:left="4395"/>
        <w:jc w:val="both"/>
        <w:rPr>
          <w:rFonts w:ascii="Times New Roman" w:hAnsi="Times New Roman" w:eastAsia="Times New Roman" w:cs="Times New Roman"/>
          <w:bCs/>
          <w:color w:val="2E2E2E"/>
          <w:sz w:val="28"/>
          <w:szCs w:val="28"/>
          <w:lang w:eastAsia="ru-RU"/>
        </w:rPr>
      </w:pPr>
      <w:r>
        <w:rPr>
          <w:rFonts w:eastAsia="Times New Roman" w:cs="Times New Roman" w:ascii="Times New Roman" w:hAnsi="Times New Roman"/>
          <w:bCs/>
          <w:color w:val="2E2E2E"/>
          <w:sz w:val="24"/>
          <w:szCs w:val="24"/>
          <w:lang w:eastAsia="ru-RU"/>
        </w:rPr>
        <w:t>ПРИНЯТО</w:t>
      </w:r>
    </w:p>
    <w:p>
      <w:pPr>
        <w:pStyle w:val="Normal"/>
        <w:spacing w:lineRule="auto" w:line="240" w:before="0" w:after="0"/>
        <w:ind w:hanging="0" w:left="4395"/>
        <w:jc w:val="both"/>
        <w:rPr>
          <w:rFonts w:ascii="Times New Roman" w:hAnsi="Times New Roman" w:eastAsia="Times New Roman" w:cs="Times New Roman"/>
          <w:bCs/>
          <w:color w:val="2E2E2E"/>
          <w:sz w:val="28"/>
          <w:szCs w:val="28"/>
          <w:lang w:eastAsia="ru-RU"/>
        </w:rPr>
      </w:pPr>
      <w:r>
        <w:rPr>
          <w:rFonts w:eastAsia="Times New Roman" w:cs="Times New Roman" w:ascii="Times New Roman" w:hAnsi="Times New Roman"/>
          <w:bCs/>
          <w:color w:val="2E2E2E"/>
          <w:sz w:val="24"/>
          <w:szCs w:val="24"/>
          <w:lang w:eastAsia="ru-RU"/>
        </w:rPr>
        <w:t>Общим собранием</w:t>
      </w:r>
    </w:p>
    <w:p>
      <w:pPr>
        <w:pStyle w:val="Normal"/>
        <w:spacing w:lineRule="auto" w:line="240" w:before="0" w:after="0"/>
        <w:ind w:hanging="0" w:left="4395"/>
        <w:jc w:val="both"/>
        <w:rPr>
          <w:sz w:val="24"/>
          <w:szCs w:val="24"/>
        </w:rPr>
      </w:pPr>
      <w:r>
        <w:rPr>
          <w:rFonts w:eastAsia="Times New Roman" w:cs="Times New Roman" w:ascii="Times New Roman" w:hAnsi="Times New Roman"/>
          <w:bCs/>
          <w:color w:val="2E2E2E"/>
          <w:sz w:val="24"/>
          <w:szCs w:val="24"/>
          <w:lang w:eastAsia="ru-RU"/>
        </w:rPr>
        <w:t xml:space="preserve">МАДОУ Центр развития ребенка – </w:t>
      </w:r>
    </w:p>
    <w:p>
      <w:pPr>
        <w:pStyle w:val="Normal"/>
        <w:spacing w:lineRule="auto" w:line="240" w:before="0" w:after="0"/>
        <w:ind w:hanging="0" w:left="4395"/>
        <w:jc w:val="both"/>
        <w:rPr>
          <w:sz w:val="24"/>
          <w:szCs w:val="24"/>
        </w:rPr>
      </w:pPr>
      <w:r>
        <w:rPr>
          <w:rFonts w:eastAsia="Times New Roman" w:cs="Times New Roman" w:ascii="Times New Roman" w:hAnsi="Times New Roman"/>
          <w:bCs/>
          <w:color w:val="2E2E2E"/>
          <w:sz w:val="24"/>
          <w:szCs w:val="24"/>
          <w:lang w:eastAsia="ru-RU"/>
        </w:rPr>
        <w:t>детский сад № 10  «Ляйсан» г.Дюртюли</w:t>
      </w:r>
    </w:p>
    <w:p>
      <w:pPr>
        <w:pStyle w:val="Normal"/>
        <w:spacing w:lineRule="auto" w:line="240" w:before="0" w:after="0"/>
        <w:ind w:hanging="0" w:left="4395"/>
        <w:jc w:val="both"/>
        <w:rPr>
          <w:sz w:val="24"/>
          <w:szCs w:val="24"/>
        </w:rPr>
      </w:pPr>
      <w:r>
        <w:rPr>
          <w:rFonts w:eastAsia="Times New Roman" w:cs="Times New Roman" w:ascii="Times New Roman" w:hAnsi="Times New Roman"/>
          <w:bCs/>
          <w:color w:val="2E2E2E"/>
          <w:sz w:val="24"/>
          <w:szCs w:val="24"/>
          <w:lang w:eastAsia="ru-RU"/>
        </w:rPr>
        <w:t>протокол №____ от «___»________20___г.</w:t>
      </w:r>
    </w:p>
    <w:p>
      <w:pPr>
        <w:pStyle w:val="Normal"/>
        <w:spacing w:lineRule="auto" w:line="240" w:before="0" w:after="0"/>
        <w:ind w:hanging="0" w:left="4395"/>
        <w:jc w:val="both"/>
        <w:rPr>
          <w:rFonts w:ascii="Times New Roman" w:hAnsi="Times New Roman" w:eastAsia="Times New Roman" w:cs="Times New Roman"/>
          <w:bCs/>
          <w:color w:val="2E2E2E"/>
          <w:sz w:val="24"/>
          <w:szCs w:val="24"/>
          <w:lang w:eastAsia="ru-RU"/>
        </w:rPr>
      </w:pPr>
      <w:r>
        <w:rPr>
          <w:rFonts w:eastAsia="Times New Roman" w:cs="Times New Roman" w:ascii="Times New Roman" w:hAnsi="Times New Roman"/>
          <w:bCs/>
          <w:color w:val="2E2E2E"/>
          <w:sz w:val="24"/>
          <w:szCs w:val="24"/>
          <w:lang w:eastAsia="ru-RU"/>
        </w:rPr>
      </w:r>
    </w:p>
    <w:p>
      <w:pPr>
        <w:pStyle w:val="Normal"/>
        <w:spacing w:lineRule="auto" w:line="240" w:before="0" w:after="0"/>
        <w:ind w:hanging="0" w:left="5103"/>
        <w:jc w:val="both"/>
        <w:rPr>
          <w:rFonts w:ascii="Times New Roman" w:hAnsi="Times New Roman" w:eastAsia="Times New Roman" w:cs="Times New Roman"/>
          <w:bCs/>
          <w:color w:val="2E2E2E"/>
          <w:sz w:val="28"/>
          <w:szCs w:val="28"/>
          <w:lang w:eastAsia="ru-RU"/>
        </w:rPr>
      </w:pPr>
      <w:r>
        <w:rPr>
          <w:rFonts w:eastAsia="Times New Roman" w:cs="Times New Roman" w:ascii="Times New Roman" w:hAnsi="Times New Roman"/>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rFonts w:ascii="Times New Roman" w:hAnsi="Times New Roman" w:eastAsia="Times New Roman" w:cs="Times New Roman"/>
          <w:b/>
          <w:bCs/>
          <w:color w:val="2E2E2E"/>
          <w:sz w:val="28"/>
          <w:szCs w:val="28"/>
          <w:lang w:eastAsia="ru-RU"/>
        </w:rPr>
      </w:pPr>
      <w:r>
        <w:rPr>
          <w:rFonts w:eastAsia="Times New Roman" w:cs="Times New Roman" w:ascii="Times New Roman" w:hAnsi="Times New Roman"/>
          <w:b/>
          <w:bCs/>
          <w:color w:val="2E2E2E"/>
          <w:sz w:val="28"/>
          <w:szCs w:val="28"/>
          <w:lang w:eastAsia="ru-RU"/>
        </w:rPr>
      </w:r>
    </w:p>
    <w:p>
      <w:pPr>
        <w:pStyle w:val="Normal"/>
        <w:spacing w:lineRule="auto" w:line="240" w:before="0" w:after="0"/>
        <w:ind w:firstLine="851"/>
        <w:jc w:val="both"/>
        <w:rPr/>
      </w:pPr>
      <w:r>
        <w:rPr/>
      </w:r>
    </w:p>
    <w:sectPr>
      <w:type w:val="nextPage"/>
      <w:pgSz w:w="11906" w:h="16838"/>
      <w:pgMar w:left="1168" w:right="545" w:gutter="0" w:header="0" w:top="567" w:footer="0" w:bottom="56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lvl w:ilvl="0">
      <w:start w:val="1"/>
      <w:numFmt w:val="bullet"/>
      <w:lvlText w:val=""/>
      <w:lvlJc w:val="left"/>
      <w:pPr>
        <w:tabs>
          <w:tab w:val="num" w:pos="0"/>
        </w:tabs>
        <w:ind w:left="1571" w:hanging="360"/>
      </w:pPr>
      <w:rPr>
        <w:rFonts w:ascii="Symbol" w:hAnsi="Symbol" w:cs="Symbol" w:hint="default"/>
        <w:sz w:val="28"/>
        <w:szCs w:val="20"/>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8">
    <w:lvl w:ilvl="0">
      <w:start w:val="1"/>
      <w:numFmt w:val="bullet"/>
      <w:lvlText w:val=""/>
      <w:lvlJc w:val="left"/>
      <w:pPr>
        <w:tabs>
          <w:tab w:val="num" w:pos="0"/>
        </w:tabs>
        <w:ind w:left="2422" w:hanging="360"/>
      </w:pPr>
      <w:rPr>
        <w:rFonts w:ascii="Symbol" w:hAnsi="Symbol" w:cs="Symbol" w:hint="default"/>
        <w:sz w:val="20"/>
        <w:szCs w:val="20"/>
      </w:rPr>
    </w:lvl>
    <w:lvl w:ilvl="1">
      <w:start w:val="1"/>
      <w:numFmt w:val="bullet"/>
      <w:lvlText w:val=""/>
      <w:lvlJc w:val="left"/>
      <w:pPr>
        <w:tabs>
          <w:tab w:val="num" w:pos="0"/>
        </w:tabs>
        <w:ind w:left="2291" w:hanging="360"/>
      </w:pPr>
      <w:rPr>
        <w:rFonts w:ascii="Symbol" w:hAnsi="Symbol" w:cs="Symbol" w:hint="default"/>
        <w:sz w:val="28"/>
        <w:szCs w:val="20"/>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148"/>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dd13b1"/>
    <w:rPr>
      <w:rFonts w:ascii="Tahoma" w:hAnsi="Tahoma" w:cs="Tahoma"/>
      <w:sz w:val="16"/>
      <w:szCs w:val="16"/>
    </w:rPr>
  </w:style>
  <w:style w:type="character" w:styleId="Hyperlink">
    <w:name w:val="Hyperlink"/>
    <w:rPr>
      <w:color w:val="000080"/>
      <w:u w:val="single"/>
      <w:lang w:val="zxx" w:eastAsia="zxx" w:bidi="zxx"/>
    </w:rPr>
  </w:style>
  <w:style w:type="paragraph" w:styleId="Style15">
    <w:name w:val="Заголовок"/>
    <w:basedOn w:val="Normal"/>
    <w:next w:val="BodyText"/>
    <w:qFormat/>
    <w:pPr>
      <w:keepNext w:val="true"/>
      <w:spacing w:before="240" w:after="120"/>
    </w:pPr>
    <w:rPr>
      <w:rFonts w:ascii="Times New Roman" w:hAnsi="Times New Roman"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Mangal"/>
    </w:rPr>
  </w:style>
  <w:style w:type="paragraph" w:styleId="Caption">
    <w:name w:val="Caption"/>
    <w:basedOn w:val="Normal"/>
    <w:qFormat/>
    <w:pPr>
      <w:suppressLineNumbers/>
      <w:spacing w:before="120" w:after="120"/>
    </w:pPr>
    <w:rPr>
      <w:rFonts w:ascii="Times New Roman" w:hAnsi="Times New Roman" w:cs="Mangal"/>
      <w:i/>
      <w:iCs/>
      <w:sz w:val="24"/>
      <w:szCs w:val="24"/>
    </w:rPr>
  </w:style>
  <w:style w:type="paragraph" w:styleId="Style16">
    <w:name w:val="Указатель"/>
    <w:basedOn w:val="Normal"/>
    <w:qFormat/>
    <w:pPr>
      <w:suppressLineNumbers/>
    </w:pPr>
    <w:rPr>
      <w:rFonts w:ascii="Times New Roman" w:hAnsi="Times New Roman" w:cs="Mangal"/>
    </w:rPr>
  </w:style>
  <w:style w:type="paragraph" w:styleId="ListParagraph">
    <w:name w:val="List Paragraph"/>
    <w:basedOn w:val="Normal"/>
    <w:uiPriority w:val="34"/>
    <w:qFormat/>
    <w:rsid w:val="00e20736"/>
    <w:pPr>
      <w:spacing w:before="0" w:after="200"/>
      <w:ind w:hanging="0" w:left="720"/>
      <w:contextualSpacing/>
    </w:pPr>
    <w:rPr/>
  </w:style>
  <w:style w:type="paragraph" w:styleId="BalloonText">
    <w:name w:val="Balloon Text"/>
    <w:basedOn w:val="Normal"/>
    <w:uiPriority w:val="99"/>
    <w:semiHidden/>
    <w:unhideWhenUsed/>
    <w:qFormat/>
    <w:rsid w:val="00dd13b1"/>
    <w:pPr>
      <w:spacing w:lineRule="auto" w:line="240" w:before="0" w:after="0"/>
    </w:pPr>
    <w:rPr>
      <w:rFonts w:ascii="Tahoma" w:hAnsi="Tahoma" w:cs="Tahoma"/>
      <w:sz w:val="16"/>
      <w:szCs w:val="16"/>
    </w:rPr>
  </w:style>
  <w:style w:type="paragraph" w:styleId="Style17">
    <w:name w:val="Содержимое таблицы"/>
    <w:basedOn w:val="Normal"/>
    <w:qFormat/>
    <w:pPr>
      <w:suppressLineNumbers/>
    </w:pPr>
    <w:rPr/>
  </w:style>
  <w:style w:type="paragraph" w:styleId="Style18">
    <w:name w:val="Заголовок таблицы"/>
    <w:basedOn w:val="Style17"/>
    <w:qFormat/>
    <w:pPr>
      <w:suppressLineNumbers/>
      <w:jc w:val="center"/>
    </w:pPr>
    <w:rPr>
      <w:b/>
      <w:bCs/>
    </w:rPr>
  </w:style>
  <w:style w:type="numbering" w:styleId="Style19" w:default="1">
    <w:name w:val="Без списка"/>
    <w:uiPriority w:val="99"/>
    <w:semiHidden/>
    <w:unhideWhenUsed/>
    <w:qFormat/>
  </w:style>
  <w:style w:type="numbering" w:styleId="1" w:customStyle="1">
    <w:name w:val="Нет списка1"/>
    <w:uiPriority w:val="99"/>
    <w:semiHidden/>
    <w:unhideWhenUsed/>
    <w:qFormat/>
    <w:rsid w:val="00ea1263"/>
  </w:style>
  <w:style w:type="numbering" w:styleId="2" w:customStyle="1">
    <w:name w:val="Нет списка2"/>
    <w:uiPriority w:val="99"/>
    <w:semiHidden/>
    <w:unhideWhenUsed/>
    <w:qFormat/>
    <w:rsid w:val="00382961"/>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4c3a0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u.su/files/docs/GOST1202301_2015.pdf" TargetMode="External"/><Relationship Id="rId3" Type="http://schemas.openxmlformats.org/officeDocument/2006/relationships/hyperlink" Target="https://dou.su/files/docs/GOST1202302_2015.pdf"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25460-BFD8-4D84-B259-F9EC32867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TotalTime>
  <Application>LibreOffice/24.2.5.2$Linux_X86_64 LibreOffice_project/420$Build-2</Application>
  <AppVersion>15.0000</AppVersion>
  <DocSecurity>0</DocSecurity>
  <Pages>15</Pages>
  <Words>5754</Words>
  <Characters>42527</Characters>
  <CharactersWithSpaces>47779</CharactersWithSpaces>
  <Paragraphs>373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2022-03-14T04:40:00Z</dcterms:created>
  <dc:creator>садик-10 1</dc:creator>
  <dc:description/>
  <dc:language>ru-RU</dc:language>
  <cp:lastModifiedBy/>
  <cp:lastPrinted>2022-03-15T05:24:00Z</cp:lastPrinted>
  <dcterms:modified xsi:type="dcterms:W3CDTF">2025-07-29T08:25:12Z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